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0F4D" w:rsidRPr="006A75BA" w:rsidRDefault="00720F4D" w:rsidP="00720F4D">
      <w:pPr>
        <w:jc w:val="center"/>
        <w:rPr>
          <w:b/>
          <w:sz w:val="24"/>
        </w:rPr>
      </w:pPr>
      <w:r w:rsidRPr="006A75BA">
        <w:rPr>
          <w:b/>
          <w:sz w:val="24"/>
        </w:rPr>
        <w:t xml:space="preserve">Ejemplo de </w:t>
      </w:r>
      <w:r>
        <w:rPr>
          <w:rFonts w:ascii="Helvetica-Bold" w:hAnsi="Helvetica-Bold" w:cs="Helvetica-Bold"/>
          <w:b/>
          <w:bCs/>
        </w:rPr>
        <w:t>planteamiento del problema</w:t>
      </w:r>
      <w:r w:rsidRPr="006A75BA">
        <w:rPr>
          <w:b/>
          <w:sz w:val="24"/>
        </w:rPr>
        <w:t xml:space="preserve"> </w:t>
      </w:r>
      <w:r w:rsidR="00047D51">
        <w:rPr>
          <w:b/>
          <w:sz w:val="24"/>
        </w:rPr>
        <w:t>en</w:t>
      </w:r>
      <w:r w:rsidRPr="006A75BA">
        <w:rPr>
          <w:b/>
          <w:sz w:val="24"/>
        </w:rPr>
        <w:t xml:space="preserve"> un artículo de investigación</w:t>
      </w:r>
    </w:p>
    <w:p w:rsidR="00720F4D" w:rsidRPr="006A75BA" w:rsidRDefault="00720F4D" w:rsidP="00720F4D">
      <w:pPr>
        <w:spacing w:line="240" w:lineRule="auto"/>
        <w:ind w:firstLine="0"/>
        <w:rPr>
          <w:i/>
          <w:sz w:val="20"/>
        </w:rPr>
      </w:pPr>
      <w:r w:rsidRPr="006A75BA">
        <w:rPr>
          <w:i/>
          <w:sz w:val="20"/>
        </w:rPr>
        <w:t>El siguiente ejemplo</w:t>
      </w:r>
      <w:r w:rsidR="00047D51">
        <w:rPr>
          <w:i/>
          <w:sz w:val="20"/>
        </w:rPr>
        <w:t>, se habla sobre los recortes de los subsidios a los agricultores en México, inicia hablando sobre los subsidios en el país, para después mencionar que los recortes en dichos subsidios generaron una serie de problemas, tanto para los agricultores, como a la comunidad rural.</w:t>
      </w:r>
      <w:bookmarkStart w:id="0" w:name="_GoBack"/>
      <w:bookmarkEnd w:id="0"/>
    </w:p>
    <w:p w:rsidR="00720F4D" w:rsidRDefault="00720F4D" w:rsidP="00720F4D">
      <w:pPr>
        <w:spacing w:line="240" w:lineRule="auto"/>
        <w:ind w:firstLine="0"/>
        <w:rPr>
          <w:i/>
          <w:sz w:val="20"/>
        </w:rPr>
      </w:pPr>
    </w:p>
    <w:p w:rsidR="00720F4D" w:rsidRPr="006A75BA" w:rsidRDefault="00720F4D" w:rsidP="00720F4D">
      <w:pPr>
        <w:spacing w:line="240" w:lineRule="auto"/>
        <w:ind w:firstLine="0"/>
        <w:rPr>
          <w:i/>
          <w:sz w:val="20"/>
        </w:rPr>
      </w:pPr>
      <w:r w:rsidRPr="006A75BA">
        <w:rPr>
          <w:i/>
          <w:sz w:val="20"/>
        </w:rPr>
        <w:t xml:space="preserve">Dentro de esta dinámica, te puedes apoyar en datos, tablas, figuras e imágenes relacionadas a tu tema de investigación, busca fuentes confiables, como son INEGI, CONAPO, CONEVAL, Banco Mundial, CEPAL, OCDE, entre otras. </w:t>
      </w:r>
    </w:p>
    <w:p w:rsidR="00702943" w:rsidRDefault="00702943"/>
    <w:p w:rsidR="00720F4D" w:rsidRPr="00572623" w:rsidRDefault="00720F4D" w:rsidP="00720F4D">
      <w:pPr>
        <w:spacing w:line="240" w:lineRule="auto"/>
        <w:rPr>
          <w:sz w:val="24"/>
          <w:szCs w:val="24"/>
        </w:rPr>
      </w:pPr>
      <w:r w:rsidRPr="0079516E">
        <w:rPr>
          <w:sz w:val="24"/>
          <w:szCs w:val="24"/>
        </w:rPr>
        <w:t xml:space="preserve">Hablar del campo en México, es un referente de la cultura, además de un gran vinculación económica, para tener más claro el contexto, en lo que se refiere “actividad económica”, México concentra la mayor parte de su población económicamente activa en los sectores </w:t>
      </w:r>
      <w:r w:rsidRPr="00572623">
        <w:rPr>
          <w:sz w:val="24"/>
          <w:szCs w:val="24"/>
        </w:rPr>
        <w:t>primario, que contribuye con el 4.1% del PIB Nacional y con el 14% del empleo, el sector Secundario, que aporta el 34.2% del PIB Nacional y concentra el 24% del total del empleo, y terciario contribuye con el 61.8% del PIB y aporta empleo para el 62% de la Población Económicamente Activa Ocupada en México (INEGI, 2017).</w:t>
      </w:r>
    </w:p>
    <w:p w:rsidR="00720F4D" w:rsidRPr="00572623" w:rsidRDefault="00720F4D" w:rsidP="00720F4D">
      <w:pPr>
        <w:spacing w:line="240" w:lineRule="auto"/>
        <w:rPr>
          <w:color w:val="FF0000"/>
          <w:sz w:val="24"/>
          <w:szCs w:val="24"/>
        </w:rPr>
      </w:pPr>
    </w:p>
    <w:p w:rsidR="00720F4D" w:rsidRPr="0079516E" w:rsidRDefault="00720F4D" w:rsidP="00720F4D">
      <w:pPr>
        <w:spacing w:line="240" w:lineRule="auto"/>
        <w:rPr>
          <w:sz w:val="24"/>
          <w:szCs w:val="24"/>
        </w:rPr>
      </w:pPr>
      <w:r w:rsidRPr="0079516E">
        <w:rPr>
          <w:sz w:val="24"/>
          <w:szCs w:val="24"/>
        </w:rPr>
        <w:t>La república mexicana se conforma de 32 Estados, divididos en regiones, como es el caso del noroeste, conformado por los estados de Baja California, Baja California Sur, Sonora y Sinaloa.  De estos estados los que destacan por su participación en las actividades agropecuarias, son Sinaloa y Sonora (ATLAS de México, 2018).</w:t>
      </w:r>
    </w:p>
    <w:p w:rsidR="00720F4D" w:rsidRPr="0079516E" w:rsidRDefault="00720F4D" w:rsidP="00720F4D">
      <w:pPr>
        <w:spacing w:line="240" w:lineRule="auto"/>
        <w:rPr>
          <w:sz w:val="24"/>
          <w:szCs w:val="24"/>
        </w:rPr>
      </w:pPr>
    </w:p>
    <w:p w:rsidR="00720F4D" w:rsidRPr="0079516E" w:rsidRDefault="00720F4D" w:rsidP="00720F4D">
      <w:pPr>
        <w:spacing w:line="240" w:lineRule="auto"/>
        <w:rPr>
          <w:sz w:val="24"/>
          <w:szCs w:val="24"/>
        </w:rPr>
      </w:pPr>
      <w:r w:rsidRPr="0079516E">
        <w:rPr>
          <w:sz w:val="24"/>
          <w:szCs w:val="24"/>
        </w:rPr>
        <w:t>Es precisamente dentro del Estado de Sonora, donde existe un gran dinamismo económico, debido a su gran extensión territorial, con 179,355 km</w:t>
      </w:r>
      <w:r w:rsidRPr="0079516E">
        <w:rPr>
          <w:sz w:val="24"/>
          <w:szCs w:val="24"/>
          <w:vertAlign w:val="superscript"/>
        </w:rPr>
        <w:t>2</w:t>
      </w:r>
      <w:r w:rsidRPr="0079516E">
        <w:rPr>
          <w:sz w:val="24"/>
          <w:szCs w:val="24"/>
        </w:rPr>
        <w:t>, lo que equivale al 9.15% del territorio nacional, convirtiendo a la entidad en la segunda de mayor extensión de la república mexicana. La población de 2, 850,330 habitantes, que representa el 2.4% del total de la población nacional,</w:t>
      </w:r>
      <w:r>
        <w:rPr>
          <w:sz w:val="24"/>
          <w:szCs w:val="24"/>
        </w:rPr>
        <w:t xml:space="preserve"> misma que</w:t>
      </w:r>
      <w:r w:rsidRPr="0079516E">
        <w:rPr>
          <w:sz w:val="24"/>
          <w:szCs w:val="24"/>
        </w:rPr>
        <w:t xml:space="preserve"> se reparte entre los 72 municipios que conforman al Estado de Sonora (INEGI, 2018).</w:t>
      </w:r>
    </w:p>
    <w:p w:rsidR="00720F4D" w:rsidRPr="0079516E" w:rsidRDefault="00720F4D" w:rsidP="00720F4D">
      <w:pPr>
        <w:spacing w:line="240" w:lineRule="auto"/>
        <w:rPr>
          <w:sz w:val="24"/>
          <w:szCs w:val="24"/>
        </w:rPr>
      </w:pPr>
    </w:p>
    <w:p w:rsidR="00720F4D" w:rsidRPr="0079516E" w:rsidRDefault="00720F4D" w:rsidP="00720F4D">
      <w:pPr>
        <w:spacing w:line="240" w:lineRule="auto"/>
        <w:rPr>
          <w:sz w:val="24"/>
          <w:szCs w:val="24"/>
        </w:rPr>
      </w:pPr>
      <w:r w:rsidRPr="0079516E">
        <w:rPr>
          <w:sz w:val="24"/>
          <w:szCs w:val="24"/>
        </w:rPr>
        <w:t xml:space="preserve">Dentro de las características demográficas, el 86% de la población en Sonora se encuentra en asentamientos urbanos y el 14% en comunidades rurales. En cuanto a la escolaridad, en Sonora el promedio es de décimo grado, lo que equivale al primer año de educación media superior, estando por arriba al promedio nacional que se ubica en noveno grado, es decir tercero de secundaria (INEGI, 2018) </w:t>
      </w:r>
    </w:p>
    <w:p w:rsidR="00720F4D" w:rsidRPr="0079516E" w:rsidRDefault="00720F4D" w:rsidP="00720F4D">
      <w:pPr>
        <w:spacing w:line="240" w:lineRule="auto"/>
        <w:rPr>
          <w:sz w:val="24"/>
          <w:szCs w:val="24"/>
        </w:rPr>
      </w:pPr>
    </w:p>
    <w:p w:rsidR="00720F4D" w:rsidRDefault="00720F4D" w:rsidP="00720F4D">
      <w:pPr>
        <w:spacing w:line="240" w:lineRule="auto"/>
        <w:rPr>
          <w:sz w:val="24"/>
          <w:szCs w:val="24"/>
        </w:rPr>
      </w:pPr>
      <w:r w:rsidRPr="0079516E">
        <w:rPr>
          <w:sz w:val="24"/>
          <w:szCs w:val="24"/>
        </w:rPr>
        <w:t xml:space="preserve">En cuanto a las variables macroeconómicas, el Producto Interno Bruto (PIB) de Sonora, su distribución muestra una gran inclinación hacia el sector industrial y de transformación, mejor conocido por </w:t>
      </w:r>
      <w:proofErr w:type="spellStart"/>
      <w:r w:rsidRPr="0079516E">
        <w:rPr>
          <w:sz w:val="24"/>
          <w:szCs w:val="24"/>
        </w:rPr>
        <w:t>Parkin</w:t>
      </w:r>
      <w:proofErr w:type="spellEnd"/>
      <w:r w:rsidRPr="0079516E">
        <w:rPr>
          <w:sz w:val="24"/>
          <w:szCs w:val="24"/>
        </w:rPr>
        <w:t xml:space="preserve"> (2007, pág. 4) como el </w:t>
      </w:r>
      <w:r>
        <w:rPr>
          <w:sz w:val="24"/>
          <w:szCs w:val="24"/>
        </w:rPr>
        <w:t>“</w:t>
      </w:r>
      <w:r w:rsidRPr="0079516E">
        <w:rPr>
          <w:sz w:val="24"/>
          <w:szCs w:val="24"/>
        </w:rPr>
        <w:t>sector secundario</w:t>
      </w:r>
      <w:r>
        <w:rPr>
          <w:sz w:val="24"/>
          <w:szCs w:val="24"/>
        </w:rPr>
        <w:t>”</w:t>
      </w:r>
      <w:r w:rsidRPr="0079516E">
        <w:rPr>
          <w:sz w:val="24"/>
          <w:szCs w:val="24"/>
        </w:rPr>
        <w:t xml:space="preserve">, como se ve en la siguiente figura: </w:t>
      </w:r>
    </w:p>
    <w:p w:rsidR="00720F4D" w:rsidRDefault="00720F4D" w:rsidP="00720F4D">
      <w:pPr>
        <w:spacing w:line="240" w:lineRule="auto"/>
        <w:rPr>
          <w:sz w:val="24"/>
          <w:szCs w:val="24"/>
        </w:rPr>
      </w:pPr>
    </w:p>
    <w:p w:rsidR="00720F4D" w:rsidRDefault="00720F4D" w:rsidP="00720F4D">
      <w:pPr>
        <w:spacing w:line="240" w:lineRule="auto"/>
        <w:rPr>
          <w:sz w:val="24"/>
          <w:szCs w:val="24"/>
        </w:rPr>
      </w:pPr>
    </w:p>
    <w:p w:rsidR="00720F4D" w:rsidRDefault="00720F4D" w:rsidP="00720F4D">
      <w:pPr>
        <w:spacing w:line="240" w:lineRule="auto"/>
        <w:rPr>
          <w:sz w:val="24"/>
          <w:szCs w:val="24"/>
        </w:rPr>
      </w:pPr>
    </w:p>
    <w:p w:rsidR="00720F4D" w:rsidRDefault="00720F4D" w:rsidP="00720F4D">
      <w:pPr>
        <w:spacing w:line="240" w:lineRule="auto"/>
        <w:rPr>
          <w:sz w:val="24"/>
          <w:szCs w:val="24"/>
        </w:rPr>
      </w:pPr>
    </w:p>
    <w:p w:rsidR="00720F4D" w:rsidRDefault="00720F4D" w:rsidP="00720F4D">
      <w:pPr>
        <w:spacing w:line="240" w:lineRule="auto"/>
        <w:rPr>
          <w:sz w:val="24"/>
          <w:szCs w:val="24"/>
        </w:rPr>
      </w:pPr>
    </w:p>
    <w:p w:rsidR="00720F4D" w:rsidRDefault="00720F4D" w:rsidP="00720F4D">
      <w:pPr>
        <w:spacing w:line="240" w:lineRule="auto"/>
        <w:rPr>
          <w:sz w:val="24"/>
          <w:szCs w:val="24"/>
        </w:rPr>
      </w:pPr>
    </w:p>
    <w:p w:rsidR="00720F4D" w:rsidRDefault="00720F4D" w:rsidP="00720F4D">
      <w:pPr>
        <w:spacing w:line="240" w:lineRule="auto"/>
        <w:rPr>
          <w:sz w:val="24"/>
          <w:szCs w:val="24"/>
        </w:rPr>
      </w:pPr>
    </w:p>
    <w:p w:rsidR="00720F4D" w:rsidRDefault="00720F4D" w:rsidP="00720F4D">
      <w:pPr>
        <w:spacing w:line="240" w:lineRule="auto"/>
        <w:rPr>
          <w:sz w:val="24"/>
          <w:szCs w:val="24"/>
        </w:rPr>
      </w:pPr>
    </w:p>
    <w:p w:rsidR="00720F4D" w:rsidRDefault="00720F4D" w:rsidP="00720F4D">
      <w:pPr>
        <w:spacing w:line="240" w:lineRule="auto"/>
        <w:rPr>
          <w:sz w:val="24"/>
          <w:szCs w:val="24"/>
        </w:rPr>
      </w:pPr>
    </w:p>
    <w:p w:rsidR="00720F4D" w:rsidRDefault="00720F4D" w:rsidP="00720F4D">
      <w:pPr>
        <w:spacing w:line="240" w:lineRule="auto"/>
        <w:rPr>
          <w:sz w:val="24"/>
          <w:szCs w:val="24"/>
        </w:rPr>
      </w:pPr>
    </w:p>
    <w:p w:rsidR="00720F4D" w:rsidRDefault="00720F4D" w:rsidP="00720F4D">
      <w:pPr>
        <w:spacing w:line="240" w:lineRule="auto"/>
        <w:rPr>
          <w:sz w:val="24"/>
          <w:szCs w:val="24"/>
        </w:rPr>
      </w:pPr>
    </w:p>
    <w:p w:rsidR="00720F4D" w:rsidRPr="0079516E" w:rsidRDefault="00720F4D" w:rsidP="00720F4D">
      <w:pPr>
        <w:spacing w:line="240" w:lineRule="auto"/>
        <w:rPr>
          <w:sz w:val="24"/>
          <w:szCs w:val="24"/>
        </w:rPr>
      </w:pPr>
    </w:p>
    <w:p w:rsidR="00720F4D" w:rsidRPr="0079516E" w:rsidRDefault="00720F4D" w:rsidP="00720F4D">
      <w:pPr>
        <w:spacing w:line="240" w:lineRule="auto"/>
        <w:jc w:val="center"/>
        <w:rPr>
          <w:sz w:val="24"/>
          <w:szCs w:val="24"/>
        </w:rPr>
      </w:pPr>
      <w:r w:rsidRPr="0079516E">
        <w:rPr>
          <w:sz w:val="24"/>
          <w:szCs w:val="24"/>
        </w:rPr>
        <w:t xml:space="preserve">Figura </w:t>
      </w:r>
      <w:r>
        <w:rPr>
          <w:sz w:val="24"/>
          <w:szCs w:val="24"/>
        </w:rPr>
        <w:t>2</w:t>
      </w:r>
      <w:r w:rsidRPr="0079516E">
        <w:rPr>
          <w:sz w:val="24"/>
          <w:szCs w:val="24"/>
        </w:rPr>
        <w:t>, Aportaciones de las actividades al PIB en Sonora 2016</w:t>
      </w:r>
    </w:p>
    <w:p w:rsidR="00720F4D" w:rsidRPr="0079516E" w:rsidRDefault="00720F4D" w:rsidP="00720F4D">
      <w:pPr>
        <w:spacing w:line="240" w:lineRule="auto"/>
        <w:jc w:val="center"/>
        <w:rPr>
          <w:sz w:val="24"/>
          <w:szCs w:val="24"/>
        </w:rPr>
      </w:pPr>
      <w:r w:rsidRPr="0079516E">
        <w:rPr>
          <w:noProof/>
          <w:lang w:eastAsia="es-MX"/>
        </w:rPr>
        <w:drawing>
          <wp:inline distT="0" distB="0" distL="0" distR="0">
            <wp:extent cx="2966085" cy="2687320"/>
            <wp:effectExtent l="190500" t="190500" r="196215" b="170180"/>
            <wp:docPr id="1" name="Imagen 1" descr="http://cuentame.inegi.org.mx/Monografias/imagenes/pib_porcentaje/ActPIB_Son.gif"/>
            <wp:cNvGraphicFramePr/>
            <a:graphic xmlns:a="http://schemas.openxmlformats.org/drawingml/2006/main">
              <a:graphicData uri="http://schemas.openxmlformats.org/drawingml/2006/picture">
                <pic:pic xmlns:pic="http://schemas.openxmlformats.org/drawingml/2006/picture">
                  <pic:nvPicPr>
                    <pic:cNvPr id="1" name="Imagen 1" descr="http://cuentame.inegi.org.mx/Monografias/imagenes/pib_porcentaje/ActPIB_Son.gif"/>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32075" cy="2361565"/>
                    </a:xfrm>
                    <a:prstGeom prst="rect">
                      <a:avLst/>
                    </a:prstGeom>
                    <a:ln>
                      <a:noFill/>
                    </a:ln>
                    <a:effectLst>
                      <a:outerShdw blurRad="190500" algn="tl" rotWithShape="0">
                        <a:srgbClr val="000000">
                          <a:alpha val="70000"/>
                        </a:srgbClr>
                      </a:outerShdw>
                    </a:effectLst>
                  </pic:spPr>
                </pic:pic>
              </a:graphicData>
            </a:graphic>
          </wp:inline>
        </w:drawing>
      </w:r>
    </w:p>
    <w:p w:rsidR="00720F4D" w:rsidRPr="0079516E" w:rsidRDefault="00720F4D" w:rsidP="00720F4D">
      <w:pPr>
        <w:spacing w:line="240" w:lineRule="auto"/>
        <w:rPr>
          <w:rFonts w:eastAsia="Times New Roman"/>
          <w:i/>
          <w:sz w:val="18"/>
          <w:szCs w:val="14"/>
          <w:lang w:eastAsia="es-MX"/>
        </w:rPr>
      </w:pPr>
      <w:r w:rsidRPr="0079516E">
        <w:rPr>
          <w:rFonts w:eastAsia="Times New Roman"/>
          <w:i/>
          <w:sz w:val="18"/>
          <w:szCs w:val="14"/>
          <w:lang w:eastAsia="es-MX"/>
        </w:rPr>
        <w:t>FUENTE: INEGI. Sistema de Cuentas Nacionales de México. Participación por actividad económica, en valores corrientes, 2016* *Cifras preliminares</w:t>
      </w:r>
    </w:p>
    <w:p w:rsidR="00720F4D" w:rsidRPr="0079516E" w:rsidRDefault="00720F4D" w:rsidP="00720F4D">
      <w:pPr>
        <w:spacing w:line="240" w:lineRule="auto"/>
        <w:rPr>
          <w:sz w:val="24"/>
          <w:szCs w:val="24"/>
        </w:rPr>
      </w:pPr>
    </w:p>
    <w:p w:rsidR="00720F4D" w:rsidRDefault="00720F4D" w:rsidP="00720F4D">
      <w:pPr>
        <w:spacing w:line="240" w:lineRule="auto"/>
        <w:rPr>
          <w:sz w:val="24"/>
          <w:szCs w:val="24"/>
        </w:rPr>
      </w:pPr>
      <w:r w:rsidRPr="0079516E">
        <w:rPr>
          <w:sz w:val="24"/>
          <w:szCs w:val="24"/>
        </w:rPr>
        <w:t xml:space="preserve">La tercera actividad económica del Estado, se concentra en el sur de la entidad, donde se localiza el Distrito Desarrollo Rural 148 de </w:t>
      </w:r>
      <w:proofErr w:type="spellStart"/>
      <w:r w:rsidRPr="0079516E">
        <w:rPr>
          <w:sz w:val="24"/>
          <w:szCs w:val="24"/>
        </w:rPr>
        <w:t>Cajeme</w:t>
      </w:r>
      <w:proofErr w:type="spellEnd"/>
      <w:r w:rsidRPr="0079516E">
        <w:rPr>
          <w:sz w:val="24"/>
          <w:szCs w:val="24"/>
        </w:rPr>
        <w:t xml:space="preserve"> (DDR 148) de la Secretaria de Agricultura, Ganadería, Recursos, Pesca y Alimentación (</w:t>
      </w:r>
      <w:proofErr w:type="spellStart"/>
      <w:r w:rsidRPr="0079516E">
        <w:rPr>
          <w:sz w:val="24"/>
          <w:szCs w:val="24"/>
        </w:rPr>
        <w:t>Sagarpa</w:t>
      </w:r>
      <w:proofErr w:type="spellEnd"/>
      <w:r w:rsidRPr="0079516E">
        <w:rPr>
          <w:sz w:val="24"/>
          <w:szCs w:val="24"/>
        </w:rPr>
        <w:t xml:space="preserve">), en el que se encuentran los municipios de San Ignacio Rio Muerto, </w:t>
      </w:r>
      <w:proofErr w:type="spellStart"/>
      <w:r w:rsidRPr="0079516E">
        <w:rPr>
          <w:sz w:val="24"/>
          <w:szCs w:val="24"/>
        </w:rPr>
        <w:t>Bacum</w:t>
      </w:r>
      <w:proofErr w:type="spellEnd"/>
      <w:r w:rsidRPr="0079516E">
        <w:rPr>
          <w:sz w:val="24"/>
          <w:szCs w:val="24"/>
        </w:rPr>
        <w:t xml:space="preserve">, Villa Juárez y </w:t>
      </w:r>
      <w:proofErr w:type="spellStart"/>
      <w:r w:rsidRPr="0079516E">
        <w:rPr>
          <w:sz w:val="24"/>
          <w:szCs w:val="24"/>
        </w:rPr>
        <w:t>Cajeme</w:t>
      </w:r>
      <w:proofErr w:type="spellEnd"/>
      <w:r w:rsidRPr="0079516E">
        <w:rPr>
          <w:sz w:val="24"/>
          <w:szCs w:val="24"/>
        </w:rPr>
        <w:t xml:space="preserve">. Es precisamente el lugar donde el Dr. Norman </w:t>
      </w:r>
      <w:proofErr w:type="spellStart"/>
      <w:r w:rsidRPr="0079516E">
        <w:rPr>
          <w:sz w:val="24"/>
          <w:szCs w:val="24"/>
        </w:rPr>
        <w:t>Borlaug</w:t>
      </w:r>
      <w:proofErr w:type="spellEnd"/>
      <w:r w:rsidRPr="0079516E">
        <w:rPr>
          <w:sz w:val="24"/>
          <w:szCs w:val="24"/>
        </w:rPr>
        <w:t xml:space="preserve"> desarrollo su investigación y detono la llamada revolución verde. </w:t>
      </w:r>
    </w:p>
    <w:p w:rsidR="00720F4D" w:rsidRDefault="00720F4D" w:rsidP="00720F4D">
      <w:pPr>
        <w:spacing w:line="240" w:lineRule="auto"/>
        <w:rPr>
          <w:sz w:val="24"/>
          <w:szCs w:val="24"/>
        </w:rPr>
      </w:pPr>
    </w:p>
    <w:p w:rsidR="00720F4D" w:rsidRDefault="00720F4D" w:rsidP="00720F4D">
      <w:pPr>
        <w:spacing w:line="240" w:lineRule="auto"/>
        <w:jc w:val="center"/>
        <w:rPr>
          <w:sz w:val="24"/>
          <w:szCs w:val="24"/>
        </w:rPr>
      </w:pPr>
      <w:r>
        <w:rPr>
          <w:noProof/>
          <w:lang w:eastAsia="es-MX"/>
        </w:rPr>
        <w:drawing>
          <wp:anchor distT="0" distB="0" distL="114300" distR="114300" simplePos="0" relativeHeight="251660288" behindDoc="1" locked="0" layoutInCell="1" allowOverlap="1">
            <wp:simplePos x="0" y="0"/>
            <wp:positionH relativeFrom="column">
              <wp:posOffset>1263650</wp:posOffset>
            </wp:positionH>
            <wp:positionV relativeFrom="paragraph">
              <wp:posOffset>454660</wp:posOffset>
            </wp:positionV>
            <wp:extent cx="3202940" cy="1936115"/>
            <wp:effectExtent l="0" t="0" r="0" b="6985"/>
            <wp:wrapTight wrapText="bothSides">
              <wp:wrapPolygon edited="0">
                <wp:start x="0" y="0"/>
                <wp:lineTo x="0" y="21465"/>
                <wp:lineTo x="21454" y="21465"/>
                <wp:lineTo x="21454" y="0"/>
                <wp:lineTo x="0" y="0"/>
              </wp:wrapPolygon>
            </wp:wrapTight>
            <wp:docPr id="3" name="Imagen 3" descr="El D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 D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02940" cy="193611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4"/>
          <w:szCs w:val="24"/>
        </w:rPr>
        <w:t xml:space="preserve">Figura 3, El Dr. Norman </w:t>
      </w:r>
      <w:proofErr w:type="spellStart"/>
      <w:r>
        <w:rPr>
          <w:sz w:val="24"/>
          <w:szCs w:val="24"/>
        </w:rPr>
        <w:t>Borlaug</w:t>
      </w:r>
      <w:proofErr w:type="spellEnd"/>
      <w:r>
        <w:rPr>
          <w:sz w:val="24"/>
          <w:szCs w:val="24"/>
        </w:rPr>
        <w:t>, en una de su</w:t>
      </w:r>
      <w:r w:rsidRPr="00CD42FC">
        <w:rPr>
          <w:sz w:val="24"/>
          <w:szCs w:val="24"/>
        </w:rPr>
        <w:t xml:space="preserve"> última visita al ITVY, marzo de 2006.</w:t>
      </w:r>
    </w:p>
    <w:p w:rsidR="00720F4D" w:rsidRPr="0079516E" w:rsidRDefault="00720F4D" w:rsidP="00720F4D">
      <w:pPr>
        <w:spacing w:line="240" w:lineRule="auto"/>
        <w:rPr>
          <w:sz w:val="24"/>
          <w:szCs w:val="24"/>
        </w:rPr>
      </w:pPr>
    </w:p>
    <w:p w:rsidR="00720F4D" w:rsidRDefault="00720F4D" w:rsidP="00720F4D">
      <w:pPr>
        <w:spacing w:line="240" w:lineRule="auto"/>
        <w:rPr>
          <w:rFonts w:eastAsia="Times New Roman"/>
          <w:i/>
          <w:sz w:val="18"/>
          <w:szCs w:val="14"/>
          <w:lang w:eastAsia="es-MX"/>
        </w:rPr>
      </w:pPr>
    </w:p>
    <w:p w:rsidR="00720F4D" w:rsidRDefault="00720F4D" w:rsidP="00720F4D">
      <w:pPr>
        <w:spacing w:line="240" w:lineRule="auto"/>
        <w:rPr>
          <w:rFonts w:eastAsia="Times New Roman"/>
          <w:i/>
          <w:sz w:val="18"/>
          <w:szCs w:val="14"/>
          <w:lang w:eastAsia="es-MX"/>
        </w:rPr>
      </w:pPr>
    </w:p>
    <w:p w:rsidR="00720F4D" w:rsidRDefault="00720F4D" w:rsidP="00720F4D">
      <w:pPr>
        <w:spacing w:line="240" w:lineRule="auto"/>
        <w:rPr>
          <w:rFonts w:eastAsia="Times New Roman"/>
          <w:i/>
          <w:sz w:val="18"/>
          <w:szCs w:val="14"/>
          <w:lang w:eastAsia="es-MX"/>
        </w:rPr>
      </w:pPr>
    </w:p>
    <w:p w:rsidR="00720F4D" w:rsidRDefault="00720F4D" w:rsidP="00720F4D">
      <w:pPr>
        <w:spacing w:line="240" w:lineRule="auto"/>
        <w:rPr>
          <w:rFonts w:eastAsia="Times New Roman"/>
          <w:i/>
          <w:sz w:val="18"/>
          <w:szCs w:val="14"/>
          <w:lang w:eastAsia="es-MX"/>
        </w:rPr>
      </w:pPr>
    </w:p>
    <w:p w:rsidR="00720F4D" w:rsidRDefault="00720F4D" w:rsidP="00720F4D">
      <w:pPr>
        <w:spacing w:line="240" w:lineRule="auto"/>
        <w:rPr>
          <w:rFonts w:eastAsia="Times New Roman"/>
          <w:i/>
          <w:sz w:val="18"/>
          <w:szCs w:val="14"/>
          <w:lang w:eastAsia="es-MX"/>
        </w:rPr>
      </w:pPr>
    </w:p>
    <w:p w:rsidR="00720F4D" w:rsidRDefault="00720F4D" w:rsidP="00720F4D">
      <w:pPr>
        <w:spacing w:line="240" w:lineRule="auto"/>
        <w:rPr>
          <w:rFonts w:eastAsia="Times New Roman"/>
          <w:i/>
          <w:sz w:val="18"/>
          <w:szCs w:val="14"/>
          <w:lang w:eastAsia="es-MX"/>
        </w:rPr>
      </w:pPr>
    </w:p>
    <w:p w:rsidR="00720F4D" w:rsidRDefault="00720F4D" w:rsidP="00720F4D">
      <w:pPr>
        <w:spacing w:line="240" w:lineRule="auto"/>
        <w:rPr>
          <w:rFonts w:eastAsia="Times New Roman"/>
          <w:i/>
          <w:sz w:val="18"/>
          <w:szCs w:val="14"/>
          <w:lang w:eastAsia="es-MX"/>
        </w:rPr>
      </w:pPr>
    </w:p>
    <w:p w:rsidR="00720F4D" w:rsidRDefault="00720F4D" w:rsidP="00720F4D">
      <w:pPr>
        <w:spacing w:line="240" w:lineRule="auto"/>
        <w:rPr>
          <w:rFonts w:eastAsia="Times New Roman"/>
          <w:i/>
          <w:sz w:val="18"/>
          <w:szCs w:val="14"/>
          <w:lang w:eastAsia="es-MX"/>
        </w:rPr>
      </w:pPr>
    </w:p>
    <w:p w:rsidR="00720F4D" w:rsidRDefault="00720F4D" w:rsidP="00720F4D">
      <w:pPr>
        <w:spacing w:line="240" w:lineRule="auto"/>
        <w:rPr>
          <w:rFonts w:eastAsia="Times New Roman"/>
          <w:i/>
          <w:sz w:val="18"/>
          <w:szCs w:val="14"/>
          <w:lang w:eastAsia="es-MX"/>
        </w:rPr>
      </w:pPr>
    </w:p>
    <w:p w:rsidR="00720F4D" w:rsidRDefault="00720F4D" w:rsidP="00720F4D">
      <w:pPr>
        <w:spacing w:line="240" w:lineRule="auto"/>
        <w:rPr>
          <w:rFonts w:eastAsia="Times New Roman"/>
          <w:i/>
          <w:sz w:val="18"/>
          <w:szCs w:val="14"/>
          <w:lang w:eastAsia="es-MX"/>
        </w:rPr>
      </w:pPr>
    </w:p>
    <w:p w:rsidR="00720F4D" w:rsidRDefault="00720F4D" w:rsidP="00720F4D">
      <w:pPr>
        <w:spacing w:line="240" w:lineRule="auto"/>
        <w:rPr>
          <w:rFonts w:eastAsia="Times New Roman"/>
          <w:i/>
          <w:sz w:val="18"/>
          <w:szCs w:val="14"/>
          <w:lang w:eastAsia="es-MX"/>
        </w:rPr>
      </w:pPr>
    </w:p>
    <w:p w:rsidR="00720F4D" w:rsidRDefault="00720F4D" w:rsidP="00720F4D">
      <w:pPr>
        <w:spacing w:line="240" w:lineRule="auto"/>
        <w:rPr>
          <w:rFonts w:eastAsia="Times New Roman"/>
          <w:i/>
          <w:sz w:val="18"/>
          <w:szCs w:val="14"/>
          <w:lang w:eastAsia="es-MX"/>
        </w:rPr>
      </w:pPr>
    </w:p>
    <w:p w:rsidR="00720F4D" w:rsidRDefault="00720F4D" w:rsidP="00720F4D">
      <w:pPr>
        <w:spacing w:line="240" w:lineRule="auto"/>
        <w:rPr>
          <w:rFonts w:eastAsia="Times New Roman"/>
          <w:i/>
          <w:sz w:val="18"/>
          <w:szCs w:val="14"/>
          <w:lang w:eastAsia="es-MX"/>
        </w:rPr>
      </w:pPr>
    </w:p>
    <w:p w:rsidR="00720F4D" w:rsidRDefault="00720F4D" w:rsidP="00720F4D">
      <w:pPr>
        <w:spacing w:line="240" w:lineRule="auto"/>
        <w:rPr>
          <w:rFonts w:eastAsia="Times New Roman"/>
          <w:i/>
          <w:sz w:val="18"/>
          <w:szCs w:val="14"/>
          <w:lang w:eastAsia="es-MX"/>
        </w:rPr>
      </w:pPr>
    </w:p>
    <w:p w:rsidR="00720F4D" w:rsidRDefault="00720F4D" w:rsidP="00720F4D">
      <w:pPr>
        <w:spacing w:line="240" w:lineRule="auto"/>
        <w:rPr>
          <w:rFonts w:eastAsia="Times New Roman"/>
          <w:i/>
          <w:sz w:val="18"/>
          <w:szCs w:val="14"/>
          <w:lang w:eastAsia="es-MX"/>
        </w:rPr>
      </w:pPr>
    </w:p>
    <w:p w:rsidR="00720F4D" w:rsidRPr="0079516E" w:rsidRDefault="00720F4D" w:rsidP="00720F4D">
      <w:pPr>
        <w:spacing w:line="240" w:lineRule="auto"/>
        <w:rPr>
          <w:rFonts w:eastAsia="Times New Roman"/>
          <w:i/>
          <w:sz w:val="18"/>
          <w:szCs w:val="14"/>
          <w:lang w:eastAsia="es-MX"/>
        </w:rPr>
      </w:pPr>
      <w:r w:rsidRPr="0079516E">
        <w:rPr>
          <w:rFonts w:eastAsia="Times New Roman"/>
          <w:i/>
          <w:sz w:val="18"/>
          <w:szCs w:val="14"/>
          <w:lang w:eastAsia="es-MX"/>
        </w:rPr>
        <w:t xml:space="preserve">FUENTE: </w:t>
      </w:r>
      <w:r>
        <w:rPr>
          <w:rFonts w:eastAsia="Times New Roman"/>
          <w:i/>
          <w:sz w:val="18"/>
          <w:szCs w:val="14"/>
          <w:lang w:eastAsia="es-MX"/>
        </w:rPr>
        <w:t xml:space="preserve">Archivo del Instituto Tecnológico del Valle del Yaqui, por el Mtro. Cristian </w:t>
      </w:r>
      <w:proofErr w:type="spellStart"/>
      <w:r>
        <w:rPr>
          <w:rFonts w:eastAsia="Times New Roman"/>
          <w:i/>
          <w:sz w:val="18"/>
          <w:szCs w:val="14"/>
          <w:lang w:eastAsia="es-MX"/>
        </w:rPr>
        <w:t>Neyoy</w:t>
      </w:r>
      <w:proofErr w:type="spellEnd"/>
      <w:r>
        <w:rPr>
          <w:rFonts w:eastAsia="Times New Roman"/>
          <w:i/>
          <w:sz w:val="18"/>
          <w:szCs w:val="14"/>
          <w:lang w:eastAsia="es-MX"/>
        </w:rPr>
        <w:t xml:space="preserve"> </w:t>
      </w:r>
      <w:proofErr w:type="spellStart"/>
      <w:r>
        <w:rPr>
          <w:rFonts w:eastAsia="Times New Roman"/>
          <w:i/>
          <w:sz w:val="18"/>
          <w:szCs w:val="14"/>
          <w:lang w:eastAsia="es-MX"/>
        </w:rPr>
        <w:t>Siaria</w:t>
      </w:r>
      <w:proofErr w:type="spellEnd"/>
    </w:p>
    <w:p w:rsidR="00720F4D" w:rsidRDefault="00720F4D" w:rsidP="00720F4D">
      <w:pPr>
        <w:spacing w:line="240" w:lineRule="auto"/>
        <w:rPr>
          <w:sz w:val="24"/>
          <w:szCs w:val="24"/>
        </w:rPr>
      </w:pPr>
    </w:p>
    <w:p w:rsidR="00720F4D" w:rsidRDefault="00720F4D" w:rsidP="00720F4D">
      <w:pPr>
        <w:spacing w:line="240" w:lineRule="auto"/>
        <w:rPr>
          <w:sz w:val="24"/>
          <w:szCs w:val="24"/>
        </w:rPr>
      </w:pPr>
      <w:r w:rsidRPr="002F34A1">
        <w:rPr>
          <w:sz w:val="24"/>
          <w:szCs w:val="24"/>
        </w:rPr>
        <w:t>La agricultura, y su relación con la sociedad, son fundamentales para el progreso de la sociedad, en palabras de Gómez Morín, uno de los 7 sabios, “una persona que luche toda su vida, gastando lo mejor de sus fuerzas en apartarse de las garras de la miseria y el hambre, no podrá aspirar al derecho divino de una vida mejor”</w:t>
      </w:r>
      <w:r>
        <w:rPr>
          <w:sz w:val="24"/>
          <w:szCs w:val="24"/>
        </w:rPr>
        <w:t xml:space="preserve">, sin embargo, y a pesar de los aportes del sector primario, sobre todo la agricultura, en México, se experimentó un súbito abandono del campo. </w:t>
      </w:r>
      <w:r w:rsidRPr="002F34A1">
        <w:rPr>
          <w:sz w:val="24"/>
          <w:szCs w:val="24"/>
        </w:rPr>
        <w:t xml:space="preserve"> </w:t>
      </w:r>
    </w:p>
    <w:p w:rsidR="00720F4D" w:rsidRDefault="00720F4D" w:rsidP="00720F4D">
      <w:pPr>
        <w:spacing w:line="240" w:lineRule="auto"/>
        <w:rPr>
          <w:sz w:val="24"/>
          <w:szCs w:val="24"/>
        </w:rPr>
      </w:pPr>
    </w:p>
    <w:p w:rsidR="00720F4D" w:rsidRPr="002F34A1" w:rsidRDefault="00720F4D" w:rsidP="00720F4D">
      <w:pPr>
        <w:spacing w:line="240" w:lineRule="auto"/>
        <w:rPr>
          <w:sz w:val="24"/>
          <w:szCs w:val="24"/>
        </w:rPr>
      </w:pPr>
      <w:r>
        <w:rPr>
          <w:sz w:val="24"/>
          <w:szCs w:val="24"/>
        </w:rPr>
        <w:t>Balbuena (2017), menciona que el inicio de la problemática del campo mexicano, y la agricultura, se gestó en el periodo de 1940 a 1960, donde se intenta dar un giro súbito al modelo de crecimiento y desarrollo económico, intentado voltear a la industrialización, por lo que los recursos dedicados a la industria, surgieron en su mayoría del campo, el cual se volvió el pilar de la industrialización (P. 36 y 37), en palabras de un economista del Estado de Sonora, el Mtro. Jaime Mondragón, “la política de industrialización en México, fue una política de despojo”</w:t>
      </w:r>
    </w:p>
    <w:p w:rsidR="00720F4D" w:rsidRDefault="00720F4D" w:rsidP="00720F4D">
      <w:pPr>
        <w:pStyle w:val="NormalWeb"/>
        <w:shd w:val="clear" w:color="auto" w:fill="FFFFFF"/>
        <w:spacing w:before="0" w:beforeAutospacing="0" w:after="0" w:afterAutospacing="0"/>
        <w:ind w:firstLine="709"/>
        <w:jc w:val="both"/>
        <w:rPr>
          <w:rFonts w:ascii="Arial" w:hAnsi="Arial" w:cs="Arial"/>
        </w:rPr>
      </w:pPr>
    </w:p>
    <w:p w:rsidR="00720F4D" w:rsidRDefault="00720F4D" w:rsidP="00720F4D">
      <w:pPr>
        <w:pStyle w:val="NormalWeb"/>
        <w:shd w:val="clear" w:color="auto" w:fill="FFFFFF"/>
        <w:spacing w:before="0" w:beforeAutospacing="0" w:after="0" w:afterAutospacing="0"/>
        <w:ind w:firstLine="709"/>
        <w:jc w:val="both"/>
        <w:rPr>
          <w:rFonts w:ascii="Arial" w:hAnsi="Arial" w:cs="Arial"/>
        </w:rPr>
      </w:pPr>
      <w:r>
        <w:rPr>
          <w:rFonts w:ascii="Arial" w:hAnsi="Arial" w:cs="Arial"/>
        </w:rPr>
        <w:t xml:space="preserve">Según Gómez (1978), citado </w:t>
      </w:r>
      <w:r w:rsidRPr="00367288">
        <w:rPr>
          <w:rFonts w:ascii="Arial" w:hAnsi="Arial" w:cs="Arial"/>
        </w:rPr>
        <w:t>por Balbuena</w:t>
      </w:r>
      <w:r>
        <w:rPr>
          <w:rFonts w:ascii="Arial" w:hAnsi="Arial" w:cs="Arial"/>
        </w:rPr>
        <w:t xml:space="preserve"> (2017)</w:t>
      </w:r>
      <w:r w:rsidRPr="00367288">
        <w:rPr>
          <w:rFonts w:ascii="Arial" w:hAnsi="Arial" w:cs="Arial"/>
        </w:rPr>
        <w:t>, los recursos canalizados del sector bancario al sector agrícola, de 1945 a 1965, crecieron 47.5%, pues pasaron de 1 882.6 millones de pesos en 1945 a 8 959.8 millones de pesos en 1965; incluso, de 1955 a 1960, dicho porcentaje fue superior a 15%, registrándose un incremento exponencial a partir de 1957</w:t>
      </w:r>
      <w:r>
        <w:rPr>
          <w:rFonts w:ascii="Arial" w:hAnsi="Arial" w:cs="Arial"/>
        </w:rPr>
        <w:t xml:space="preserve"> (P.23), registrando a lo largo de 20 años, niveles record de crecimiento, generado producción y empleo.  </w:t>
      </w:r>
    </w:p>
    <w:p w:rsidR="00720F4D" w:rsidRDefault="00720F4D" w:rsidP="00720F4D">
      <w:pPr>
        <w:pStyle w:val="NormalWeb"/>
        <w:shd w:val="clear" w:color="auto" w:fill="FFFFFF"/>
        <w:spacing w:before="0" w:beforeAutospacing="0" w:after="0" w:afterAutospacing="0"/>
        <w:ind w:firstLine="709"/>
        <w:jc w:val="both"/>
        <w:rPr>
          <w:rFonts w:ascii="Arial" w:hAnsi="Arial" w:cs="Arial"/>
        </w:rPr>
      </w:pPr>
    </w:p>
    <w:p w:rsidR="00720F4D" w:rsidRDefault="00720F4D" w:rsidP="00720F4D">
      <w:pPr>
        <w:pStyle w:val="NormalWeb"/>
        <w:shd w:val="clear" w:color="auto" w:fill="FFFFFF"/>
        <w:spacing w:before="0" w:beforeAutospacing="0" w:after="0" w:afterAutospacing="0"/>
        <w:ind w:firstLine="709"/>
        <w:jc w:val="both"/>
        <w:rPr>
          <w:rFonts w:ascii="Arial" w:hAnsi="Arial" w:cs="Arial"/>
        </w:rPr>
      </w:pPr>
      <w:r w:rsidRPr="00367288">
        <w:rPr>
          <w:rFonts w:ascii="Arial" w:hAnsi="Arial" w:cs="Arial"/>
        </w:rPr>
        <w:t>Para Gómez (1978), citado por Balbuena (2017), de 1940 a 1965, las transferencias de capital hacia la agricultura parecen alternar con las transferencias de la agricultura hacia el resto de la economía, generando una relación dinámica que impulsó el crecimiento de la economía con tasas superiores al 6.5% anual</w:t>
      </w:r>
      <w:r>
        <w:rPr>
          <w:rFonts w:ascii="Arial" w:hAnsi="Arial" w:cs="Arial"/>
        </w:rPr>
        <w:t xml:space="preserve"> (P. 38 y 39), sin duda una tasa de crecimiento económico muy distinta a las actuales, sin embargo, fieles al modelo de repetir errores y patrones, tal como se ha hecho con el petróleo, la agricultura, que financiaba al sector secundario, no recibió el proporcional de los recursos invertidos en ese sector. </w:t>
      </w:r>
    </w:p>
    <w:p w:rsidR="00720F4D" w:rsidRDefault="00720F4D" w:rsidP="00720F4D">
      <w:pPr>
        <w:pStyle w:val="NormalWeb"/>
        <w:shd w:val="clear" w:color="auto" w:fill="FFFFFF"/>
        <w:spacing w:before="0" w:beforeAutospacing="0" w:after="0" w:afterAutospacing="0"/>
        <w:ind w:firstLine="709"/>
        <w:jc w:val="both"/>
        <w:rPr>
          <w:rFonts w:ascii="Arial" w:hAnsi="Arial" w:cs="Arial"/>
        </w:rPr>
      </w:pPr>
    </w:p>
    <w:p w:rsidR="00720F4D" w:rsidRDefault="00720F4D" w:rsidP="00720F4D">
      <w:pPr>
        <w:pStyle w:val="NormalWeb"/>
        <w:shd w:val="clear" w:color="auto" w:fill="FFFFFF"/>
        <w:spacing w:before="0" w:beforeAutospacing="0" w:after="0" w:afterAutospacing="0"/>
        <w:ind w:firstLine="709"/>
        <w:jc w:val="both"/>
        <w:rPr>
          <w:rFonts w:ascii="Arial" w:hAnsi="Arial" w:cs="Arial"/>
        </w:rPr>
      </w:pPr>
      <w:r>
        <w:rPr>
          <w:rFonts w:ascii="Arial" w:hAnsi="Arial" w:cs="Arial"/>
        </w:rPr>
        <w:t>Según Santoyo (1977), Zepeda (2000), Ayala (200</w:t>
      </w:r>
      <w:r w:rsidRPr="002646E8">
        <w:rPr>
          <w:rFonts w:ascii="Arial" w:hAnsi="Arial" w:cs="Arial"/>
        </w:rPr>
        <w:t>5) y Balbuena (2017), de 1961 a 1970, la agricultura transfirió sistemáticamente recursos de capital hacia el resto de la economía con el agravante de que cada vez menos recursos fueron transferidos hacia ella. Esto es, en México, una vez que se hizo la transferencia de recursos, sobre todo de mano de obra, alimentos baratos para la población urbana y divisas provenientes de la favorable balanza comercial agropecuaria, el sector agrícola no pudo hacer sustentable su desarrollo ni su vínculo con las actividades económicas secundarias. Por ello, esa asimetría en el flujo de los recursos fue descapitalizando al agro y marginándolo del resto de la actividad económica</w:t>
      </w:r>
      <w:r>
        <w:rPr>
          <w:rFonts w:ascii="Arial" w:hAnsi="Arial" w:cs="Arial"/>
        </w:rPr>
        <w:t xml:space="preserve"> (p. 24). </w:t>
      </w:r>
    </w:p>
    <w:p w:rsidR="00720F4D" w:rsidRDefault="00720F4D" w:rsidP="00720F4D">
      <w:pPr>
        <w:pStyle w:val="NormalWeb"/>
        <w:shd w:val="clear" w:color="auto" w:fill="FFFFFF"/>
        <w:spacing w:before="0" w:beforeAutospacing="0" w:after="0" w:afterAutospacing="0"/>
        <w:ind w:firstLine="709"/>
        <w:jc w:val="both"/>
        <w:rPr>
          <w:rFonts w:ascii="Arial" w:hAnsi="Arial" w:cs="Arial"/>
        </w:rPr>
      </w:pPr>
    </w:p>
    <w:p w:rsidR="00720F4D" w:rsidRDefault="00720F4D" w:rsidP="00720F4D">
      <w:pPr>
        <w:pStyle w:val="NormalWeb"/>
        <w:shd w:val="clear" w:color="auto" w:fill="FFFFFF"/>
        <w:spacing w:before="0" w:beforeAutospacing="0" w:after="0" w:afterAutospacing="0"/>
        <w:ind w:firstLine="709"/>
        <w:jc w:val="both"/>
        <w:rPr>
          <w:rFonts w:ascii="Arial" w:hAnsi="Arial" w:cs="Arial"/>
        </w:rPr>
      </w:pPr>
      <w:r>
        <w:rPr>
          <w:rFonts w:ascii="Arial" w:hAnsi="Arial" w:cs="Arial"/>
        </w:rPr>
        <w:t xml:space="preserve"> A raíz de dicha situación, el campo mexicano, vivió un proceso de empobrecimiento, que logro permear a varios extractos de la sociedad mexicana, </w:t>
      </w:r>
      <w:r>
        <w:rPr>
          <w:rFonts w:ascii="Arial" w:hAnsi="Arial" w:cs="Arial"/>
        </w:rPr>
        <w:lastRenderedPageBreak/>
        <w:t>según cálculos de Gómez (1978), citado por Bal</w:t>
      </w:r>
      <w:r w:rsidRPr="003210B4">
        <w:rPr>
          <w:rFonts w:ascii="Arial" w:hAnsi="Arial" w:cs="Arial"/>
        </w:rPr>
        <w:t>buena</w:t>
      </w:r>
      <w:r>
        <w:rPr>
          <w:rFonts w:ascii="Arial" w:hAnsi="Arial" w:cs="Arial"/>
        </w:rPr>
        <w:t xml:space="preserve"> (2017)</w:t>
      </w:r>
      <w:r w:rsidRPr="003210B4">
        <w:rPr>
          <w:rFonts w:ascii="Arial" w:hAnsi="Arial" w:cs="Arial"/>
        </w:rPr>
        <w:t>, para 1976 el producto agropecuario presentó una caída del -8.7% y para 1977 no logró recuperarse, pues sólo creció 4%. Consecuentemente, el producto agrícola, que representaba casi 10% del PIB en 1945, en 1966 sólo representó el 5%, (</w:t>
      </w:r>
      <w:r>
        <w:rPr>
          <w:rFonts w:ascii="Arial" w:hAnsi="Arial" w:cs="Arial"/>
        </w:rPr>
        <w:t xml:space="preserve">p. 40), incluso viendo las claras señales de desaceleración, los esfuerzos del gobierno federal, seguían apuntando a una economía alejada de la producción primaria y más próxima, a la producción de bienes de capital, para poder llegar a esa utopía, se invirtieron los recursos a la gran obra de industrialización nacional, dejando sin recursos, y en el olvido al campo mexicano. </w:t>
      </w:r>
    </w:p>
    <w:p w:rsidR="00720F4D" w:rsidRDefault="00720F4D" w:rsidP="00720F4D">
      <w:pPr>
        <w:pStyle w:val="NormalWeb"/>
        <w:shd w:val="clear" w:color="auto" w:fill="FFFFFF"/>
        <w:spacing w:before="0" w:beforeAutospacing="0" w:after="0" w:afterAutospacing="0"/>
        <w:ind w:firstLine="709"/>
        <w:jc w:val="both"/>
        <w:rPr>
          <w:rFonts w:ascii="Arial" w:hAnsi="Arial" w:cs="Arial"/>
        </w:rPr>
      </w:pPr>
    </w:p>
    <w:p w:rsidR="00720F4D" w:rsidRPr="0051703A" w:rsidRDefault="00720F4D" w:rsidP="00720F4D">
      <w:pPr>
        <w:pStyle w:val="NormalWeb"/>
        <w:shd w:val="clear" w:color="auto" w:fill="FFFFFF"/>
        <w:spacing w:before="0" w:beforeAutospacing="0" w:after="0" w:afterAutospacing="0"/>
        <w:ind w:firstLine="709"/>
        <w:jc w:val="both"/>
        <w:rPr>
          <w:rFonts w:ascii="Arial" w:hAnsi="Arial" w:cs="Arial"/>
        </w:rPr>
      </w:pPr>
      <w:r w:rsidRPr="00DA6B37">
        <w:rPr>
          <w:rFonts w:ascii="Arial" w:hAnsi="Arial" w:cs="Arial"/>
        </w:rPr>
        <w:t xml:space="preserve">Irónicamente, se fue en contra de uno de los principios de la economía, la especialización, la cual según </w:t>
      </w:r>
      <w:proofErr w:type="spellStart"/>
      <w:r w:rsidRPr="00DA6B37">
        <w:rPr>
          <w:rFonts w:ascii="Arial" w:hAnsi="Arial" w:cs="Arial"/>
        </w:rPr>
        <w:t>Samuelson</w:t>
      </w:r>
      <w:proofErr w:type="spellEnd"/>
      <w:r w:rsidRPr="00DA6B37">
        <w:rPr>
          <w:rFonts w:ascii="Arial" w:hAnsi="Arial" w:cs="Arial"/>
        </w:rPr>
        <w:t xml:space="preserve"> y </w:t>
      </w:r>
      <w:proofErr w:type="spellStart"/>
      <w:r w:rsidRPr="00DA6B37">
        <w:rPr>
          <w:rFonts w:ascii="Arial" w:hAnsi="Arial" w:cs="Arial"/>
        </w:rPr>
        <w:t>Nordhaus</w:t>
      </w:r>
      <w:proofErr w:type="spellEnd"/>
      <w:r w:rsidRPr="00DA6B37">
        <w:rPr>
          <w:rFonts w:ascii="Arial" w:hAnsi="Arial" w:cs="Arial"/>
        </w:rPr>
        <w:t xml:space="preserve"> (2010)</w:t>
      </w:r>
      <w:r w:rsidRPr="00DA6B37">
        <w:rPr>
          <w:rFonts w:ascii="Arial" w:hAnsi="Arial" w:cs="Arial"/>
          <w:i/>
          <w:iCs/>
        </w:rPr>
        <w:t xml:space="preserve"> “</w:t>
      </w:r>
      <w:r w:rsidRPr="00DA6B37">
        <w:rPr>
          <w:rFonts w:ascii="Arial" w:hAnsi="Arial" w:cs="Arial"/>
        </w:rPr>
        <w:t>se logra cuando la gente y los países concentran sus esfuerzos en un conjunto particular de tareas; le permite a cada persona y a cada país aprovechar al máximo las habilidades y recursos específicos de que disponen” (p. 31), es decir, para los economistas, sobre todo para los de la corriente clásica, toman</w:t>
      </w:r>
      <w:r>
        <w:rPr>
          <w:rFonts w:ascii="Arial" w:hAnsi="Arial" w:cs="Arial"/>
        </w:rPr>
        <w:t xml:space="preserve"> como base la tesis de Smith, “si eres bueno para fabricar zapatos, pues fabrica zapatos”, es decir, si eres bueno para cultivar, especialízate en la agricultura, sin embargo en México, se siguió un camino muy distinto, incurriendo en un sector, que más que recursos, requiere inversión, pero en investigación y desarrollo, los resultados, quedan claro a la vista de todos. </w:t>
      </w:r>
      <w:r>
        <w:t xml:space="preserve"> </w:t>
      </w:r>
      <w:r w:rsidRPr="0051703A">
        <w:rPr>
          <w:rFonts w:ascii="Arial" w:hAnsi="Arial" w:cs="Arial"/>
        </w:rPr>
        <w:t xml:space="preserve"> </w:t>
      </w:r>
    </w:p>
    <w:p w:rsidR="00720F4D" w:rsidRDefault="00720F4D" w:rsidP="00720F4D">
      <w:pPr>
        <w:pStyle w:val="NormalWeb"/>
        <w:shd w:val="clear" w:color="auto" w:fill="FFFFFF"/>
        <w:spacing w:before="0" w:beforeAutospacing="0" w:after="0" w:afterAutospacing="0"/>
        <w:ind w:firstLine="709"/>
        <w:jc w:val="both"/>
        <w:rPr>
          <w:rFonts w:ascii="Arial" w:hAnsi="Arial" w:cs="Arial"/>
        </w:rPr>
      </w:pPr>
    </w:p>
    <w:p w:rsidR="00720F4D" w:rsidRDefault="00720F4D" w:rsidP="00720F4D">
      <w:pPr>
        <w:pStyle w:val="NormalWeb"/>
        <w:shd w:val="clear" w:color="auto" w:fill="FFFFFF"/>
        <w:spacing w:before="0" w:beforeAutospacing="0" w:after="0" w:afterAutospacing="0"/>
        <w:ind w:firstLine="709"/>
        <w:jc w:val="both"/>
        <w:rPr>
          <w:rFonts w:ascii="Arial" w:hAnsi="Arial" w:cs="Arial"/>
        </w:rPr>
      </w:pPr>
      <w:r>
        <w:rPr>
          <w:rFonts w:ascii="Arial" w:hAnsi="Arial" w:cs="Arial"/>
        </w:rPr>
        <w:t xml:space="preserve">Si bien, el sexenio de José </w:t>
      </w:r>
      <w:proofErr w:type="spellStart"/>
      <w:r>
        <w:rPr>
          <w:rFonts w:ascii="Arial" w:hAnsi="Arial" w:cs="Arial"/>
        </w:rPr>
        <w:t>Lopez</w:t>
      </w:r>
      <w:proofErr w:type="spellEnd"/>
      <w:r>
        <w:rPr>
          <w:rFonts w:ascii="Arial" w:hAnsi="Arial" w:cs="Arial"/>
        </w:rPr>
        <w:t xml:space="preserve"> Portillo, de 1976 a 1982, a pesar del “emotivo” discurso del último informe de gobierno, fue complicado para el campo mexicano, el sexenio siguiente, el de Miguel de la Madrid Hurtado, no sería más sencillo. Según cálculos de </w:t>
      </w:r>
      <w:proofErr w:type="spellStart"/>
      <w:r>
        <w:rPr>
          <w:rFonts w:ascii="Arial" w:hAnsi="Arial" w:cs="Arial"/>
        </w:rPr>
        <w:t>De</w:t>
      </w:r>
      <w:proofErr w:type="spellEnd"/>
      <w:r>
        <w:rPr>
          <w:rFonts w:ascii="Arial" w:hAnsi="Arial" w:cs="Arial"/>
        </w:rPr>
        <w:t xml:space="preserve"> </w:t>
      </w:r>
      <w:proofErr w:type="spellStart"/>
      <w:r>
        <w:rPr>
          <w:rFonts w:ascii="Arial" w:hAnsi="Arial" w:cs="Arial"/>
        </w:rPr>
        <w:t>Janvry</w:t>
      </w:r>
      <w:proofErr w:type="spellEnd"/>
      <w:r>
        <w:rPr>
          <w:rFonts w:ascii="Arial" w:hAnsi="Arial" w:cs="Arial"/>
        </w:rPr>
        <w:t xml:space="preserve"> (1995), citados por Balbuena (2017), de 1982 a 1989, las inversiones del sector público, a la agricultura, se derrumbó 76%, acelerando el crecimiento de las importaciones, limitando la producción nacional, hasta la perdida de la paulatina autosuficiencia alimentaria, irónicamente, un campo productivo, en la pobreza. </w:t>
      </w:r>
    </w:p>
    <w:p w:rsidR="00720F4D" w:rsidRPr="00367288" w:rsidRDefault="00720F4D" w:rsidP="00720F4D">
      <w:pPr>
        <w:pStyle w:val="NormalWeb"/>
        <w:shd w:val="clear" w:color="auto" w:fill="FFFFFF"/>
        <w:spacing w:before="0" w:beforeAutospacing="0" w:after="0" w:afterAutospacing="0"/>
        <w:ind w:firstLine="709"/>
        <w:jc w:val="both"/>
        <w:rPr>
          <w:rFonts w:ascii="Arial" w:hAnsi="Arial" w:cs="Arial"/>
        </w:rPr>
      </w:pPr>
    </w:p>
    <w:p w:rsidR="00720F4D" w:rsidRPr="000000B1" w:rsidRDefault="00720F4D" w:rsidP="00720F4D">
      <w:pPr>
        <w:autoSpaceDE w:val="0"/>
        <w:autoSpaceDN w:val="0"/>
        <w:adjustRightInd w:val="0"/>
        <w:spacing w:line="240" w:lineRule="auto"/>
        <w:ind w:firstLine="0"/>
        <w:jc w:val="center"/>
        <w:rPr>
          <w:color w:val="000000"/>
          <w:sz w:val="24"/>
          <w:szCs w:val="20"/>
          <w:lang w:eastAsia="es-MX"/>
        </w:rPr>
      </w:pPr>
      <w:r>
        <w:rPr>
          <w:noProof/>
        </w:rPr>
        <w:drawing>
          <wp:anchor distT="0" distB="0" distL="114300" distR="114300" simplePos="0" relativeHeight="251659264" behindDoc="0" locked="0" layoutInCell="1" allowOverlap="1" wp14:anchorId="6B342771" wp14:editId="4ADA0067">
            <wp:simplePos x="0" y="0"/>
            <wp:positionH relativeFrom="column">
              <wp:posOffset>-41054</wp:posOffset>
            </wp:positionH>
            <wp:positionV relativeFrom="paragraph">
              <wp:posOffset>240113</wp:posOffset>
            </wp:positionV>
            <wp:extent cx="5784215" cy="1871345"/>
            <wp:effectExtent l="19050" t="19050" r="26035" b="1460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84215" cy="1871345"/>
                    </a:xfrm>
                    <a:prstGeom prst="rect">
                      <a:avLst/>
                    </a:prstGeom>
                    <a:noFill/>
                    <a:ln w="6350">
                      <a:solidFill>
                        <a:srgbClr val="000000"/>
                      </a:solidFill>
                      <a:miter lim="800000"/>
                      <a:headEnd/>
                      <a:tailEnd/>
                    </a:ln>
                    <a:effectLst/>
                  </pic:spPr>
                </pic:pic>
              </a:graphicData>
            </a:graphic>
            <wp14:sizeRelH relativeFrom="page">
              <wp14:pctWidth>0</wp14:pctWidth>
            </wp14:sizeRelH>
            <wp14:sizeRelV relativeFrom="page">
              <wp14:pctHeight>0</wp14:pctHeight>
            </wp14:sizeRelV>
          </wp:anchor>
        </w:drawing>
      </w:r>
      <w:r>
        <w:rPr>
          <w:bCs/>
          <w:color w:val="000000"/>
          <w:sz w:val="24"/>
          <w:szCs w:val="20"/>
          <w:lang w:eastAsia="es-MX"/>
        </w:rPr>
        <w:t>Figura 4, S</w:t>
      </w:r>
      <w:r w:rsidRPr="000000B1">
        <w:rPr>
          <w:bCs/>
          <w:color w:val="000000"/>
          <w:sz w:val="24"/>
          <w:szCs w:val="20"/>
          <w:lang w:eastAsia="es-MX"/>
        </w:rPr>
        <w:t>aldo total de la balanza comercial agroalimentaria 1980-1990</w:t>
      </w:r>
    </w:p>
    <w:p w:rsidR="00720F4D" w:rsidRPr="00964B92" w:rsidRDefault="00720F4D" w:rsidP="00720F4D">
      <w:pPr>
        <w:pStyle w:val="Default"/>
        <w:rPr>
          <w:i/>
        </w:rPr>
      </w:pPr>
      <w:r w:rsidRPr="0079516E">
        <w:rPr>
          <w:rFonts w:eastAsia="Times New Roman"/>
          <w:i/>
          <w:sz w:val="18"/>
          <w:szCs w:val="14"/>
        </w:rPr>
        <w:t xml:space="preserve">FUENTE: </w:t>
      </w:r>
      <w:r>
        <w:rPr>
          <w:rFonts w:eastAsia="Times New Roman"/>
          <w:i/>
          <w:sz w:val="18"/>
          <w:szCs w:val="14"/>
        </w:rPr>
        <w:t>Balbuena Guadarrama, “</w:t>
      </w:r>
      <w:r w:rsidRPr="00964B92">
        <w:rPr>
          <w:bCs/>
          <w:i/>
          <w:sz w:val="18"/>
          <w:szCs w:val="36"/>
        </w:rPr>
        <w:t>Evaluación del impacto del programa de apoyos directos al campo en el sector agrícola mexicano, 1994-2009</w:t>
      </w:r>
      <w:r>
        <w:rPr>
          <w:bCs/>
          <w:i/>
          <w:sz w:val="18"/>
          <w:szCs w:val="36"/>
        </w:rPr>
        <w:t>” 2017</w:t>
      </w:r>
    </w:p>
    <w:p w:rsidR="00720F4D" w:rsidRDefault="00720F4D" w:rsidP="00720F4D">
      <w:pPr>
        <w:pStyle w:val="NormalWeb"/>
        <w:shd w:val="clear" w:color="auto" w:fill="FFFFFF"/>
        <w:spacing w:before="0" w:beforeAutospacing="0" w:after="0" w:afterAutospacing="0"/>
        <w:ind w:firstLine="709"/>
        <w:jc w:val="both"/>
        <w:rPr>
          <w:rFonts w:ascii="Arial" w:hAnsi="Arial" w:cs="Arial"/>
        </w:rPr>
      </w:pPr>
    </w:p>
    <w:p w:rsidR="00720F4D" w:rsidRDefault="00720F4D" w:rsidP="00720F4D">
      <w:pPr>
        <w:pStyle w:val="NormalWeb"/>
        <w:shd w:val="clear" w:color="auto" w:fill="FFFFFF"/>
        <w:spacing w:before="0" w:beforeAutospacing="0" w:after="0" w:afterAutospacing="0"/>
        <w:ind w:firstLine="709"/>
        <w:jc w:val="both"/>
        <w:rPr>
          <w:rFonts w:ascii="Arial" w:hAnsi="Arial" w:cs="Arial"/>
        </w:rPr>
      </w:pPr>
      <w:r>
        <w:rPr>
          <w:rFonts w:ascii="Arial" w:hAnsi="Arial" w:cs="Arial"/>
        </w:rPr>
        <w:t xml:space="preserve">Bajo esta demoledora situación, según Balbuena (2017), surgieron varios programas, con el fin de subyugar la caída del campo mexicano, así como la pérdida </w:t>
      </w:r>
      <w:r>
        <w:rPr>
          <w:rFonts w:ascii="Arial" w:hAnsi="Arial" w:cs="Arial"/>
        </w:rPr>
        <w:lastRenderedPageBreak/>
        <w:t xml:space="preserve">de competitividad y producción agrícola, sin embargo, en el sexenio de Miguel de la Madrid Hurtado, México, vivía lo que era conocido como la década perdida, por lo que muchos programas, como suele suceder, no les faltaba ambición, pero si financiamiento (p 57-65). </w:t>
      </w:r>
    </w:p>
    <w:p w:rsidR="00720F4D" w:rsidRDefault="00720F4D" w:rsidP="00720F4D">
      <w:pPr>
        <w:pStyle w:val="NormalWeb"/>
        <w:shd w:val="clear" w:color="auto" w:fill="FFFFFF"/>
        <w:spacing w:before="0" w:beforeAutospacing="0" w:after="0" w:afterAutospacing="0"/>
        <w:ind w:firstLine="709"/>
        <w:jc w:val="both"/>
        <w:rPr>
          <w:rFonts w:ascii="Arial" w:hAnsi="Arial" w:cs="Arial"/>
        </w:rPr>
      </w:pPr>
    </w:p>
    <w:p w:rsidR="00720F4D" w:rsidRPr="0079516E" w:rsidRDefault="00720F4D" w:rsidP="00720F4D">
      <w:pPr>
        <w:pStyle w:val="NormalWeb"/>
        <w:shd w:val="clear" w:color="auto" w:fill="FFFFFF"/>
        <w:spacing w:before="0" w:beforeAutospacing="0" w:after="0" w:afterAutospacing="0"/>
        <w:ind w:firstLine="709"/>
        <w:jc w:val="both"/>
        <w:rPr>
          <w:rFonts w:ascii="Arial" w:hAnsi="Arial" w:cs="Arial"/>
        </w:rPr>
      </w:pPr>
      <w:r w:rsidRPr="0079516E">
        <w:rPr>
          <w:rFonts w:ascii="Arial" w:hAnsi="Arial" w:cs="Arial"/>
        </w:rPr>
        <w:t xml:space="preserve">Por las razones expuestas, el gobierno mexicano instauro en 1993, una serie de programas de subsidio, más específicamente, </w:t>
      </w:r>
      <w:r w:rsidRPr="0079516E">
        <w:rPr>
          <w:rStyle w:val="Textoennegrita"/>
          <w:rFonts w:ascii="Arial" w:hAnsi="Arial" w:cs="Arial"/>
          <w:b w:val="0"/>
        </w:rPr>
        <w:t>Programa de Apoyos Directos al Campo</w:t>
      </w:r>
      <w:r w:rsidRPr="0079516E">
        <w:rPr>
          <w:rFonts w:ascii="Arial" w:hAnsi="Arial" w:cs="Arial"/>
        </w:rPr>
        <w:t xml:space="preserve"> (</w:t>
      </w:r>
      <w:proofErr w:type="spellStart"/>
      <w:r w:rsidRPr="0079516E">
        <w:rPr>
          <w:rFonts w:ascii="Arial" w:hAnsi="Arial" w:cs="Arial"/>
        </w:rPr>
        <w:t>Procampo</w:t>
      </w:r>
      <w:proofErr w:type="spellEnd"/>
      <w:r w:rsidRPr="0079516E">
        <w:rPr>
          <w:rFonts w:ascii="Arial" w:hAnsi="Arial" w:cs="Arial"/>
        </w:rPr>
        <w:t xml:space="preserve">), el cual según </w:t>
      </w:r>
      <w:proofErr w:type="spellStart"/>
      <w:r w:rsidRPr="0079516E">
        <w:rPr>
          <w:rFonts w:ascii="Arial" w:hAnsi="Arial" w:cs="Arial"/>
        </w:rPr>
        <w:t>Sagarpa</w:t>
      </w:r>
      <w:proofErr w:type="spellEnd"/>
      <w:r w:rsidRPr="0079516E">
        <w:rPr>
          <w:rFonts w:ascii="Arial" w:hAnsi="Arial" w:cs="Arial"/>
        </w:rPr>
        <w:t xml:space="preserve"> (2015), tenía como objetivo complementar el ingreso económico de los </w:t>
      </w:r>
      <w:r w:rsidRPr="0079516E">
        <w:rPr>
          <w:rStyle w:val="Textoennegrita"/>
          <w:rFonts w:ascii="Arial" w:hAnsi="Arial" w:cs="Arial"/>
          <w:b w:val="0"/>
        </w:rPr>
        <w:t>productores del campo mexicano</w:t>
      </w:r>
      <w:r w:rsidRPr="0079516E">
        <w:rPr>
          <w:rFonts w:ascii="Arial" w:hAnsi="Arial" w:cs="Arial"/>
        </w:rPr>
        <w:t>, para contribuir a su crecimiento económico individual y al del país.</w:t>
      </w:r>
    </w:p>
    <w:p w:rsidR="00720F4D" w:rsidRDefault="00720F4D" w:rsidP="00720F4D">
      <w:pPr>
        <w:pStyle w:val="NormalWeb"/>
        <w:shd w:val="clear" w:color="auto" w:fill="FFFFFF"/>
        <w:spacing w:before="0" w:beforeAutospacing="0" w:after="0" w:afterAutospacing="0"/>
        <w:ind w:firstLine="709"/>
        <w:jc w:val="both"/>
        <w:rPr>
          <w:rFonts w:ascii="Arial" w:hAnsi="Arial" w:cs="Arial"/>
        </w:rPr>
      </w:pPr>
    </w:p>
    <w:p w:rsidR="00720F4D" w:rsidRPr="0079516E" w:rsidRDefault="00720F4D" w:rsidP="00720F4D">
      <w:pPr>
        <w:pStyle w:val="NormalWeb"/>
        <w:shd w:val="clear" w:color="auto" w:fill="FFFFFF"/>
        <w:spacing w:before="0" w:beforeAutospacing="0" w:after="0" w:afterAutospacing="0"/>
        <w:ind w:firstLine="709"/>
        <w:jc w:val="both"/>
        <w:rPr>
          <w:rFonts w:ascii="Arial" w:hAnsi="Arial" w:cs="Arial"/>
        </w:rPr>
      </w:pPr>
      <w:r w:rsidRPr="0079516E">
        <w:rPr>
          <w:rFonts w:ascii="Arial" w:hAnsi="Arial" w:cs="Arial"/>
        </w:rPr>
        <w:t>Además de incentivar la</w:t>
      </w:r>
      <w:r w:rsidRPr="0079516E">
        <w:rPr>
          <w:rStyle w:val="Textoennegrita"/>
          <w:rFonts w:ascii="Arial" w:hAnsi="Arial" w:cs="Arial"/>
        </w:rPr>
        <w:t> </w:t>
      </w:r>
      <w:r w:rsidRPr="0079516E">
        <w:rPr>
          <w:rStyle w:val="Textoennegrita"/>
          <w:rFonts w:ascii="Arial" w:hAnsi="Arial" w:cs="Arial"/>
          <w:b w:val="0"/>
        </w:rPr>
        <w:t>producción de cultivos lícitos</w:t>
      </w:r>
      <w:r w:rsidRPr="0079516E">
        <w:rPr>
          <w:rFonts w:ascii="Arial" w:hAnsi="Arial" w:cs="Arial"/>
        </w:rPr>
        <w:t>, mediante el otorgamiento de apoyos monetarios por superficie inscrita al Programa, coadyuvando así a la atención de las necesidades respecto al derecho a la alimentación.</w:t>
      </w:r>
    </w:p>
    <w:p w:rsidR="00720F4D" w:rsidRPr="0079516E" w:rsidRDefault="00720F4D" w:rsidP="00720F4D">
      <w:pPr>
        <w:pStyle w:val="NormalWeb"/>
        <w:shd w:val="clear" w:color="auto" w:fill="FFFFFF"/>
        <w:spacing w:before="0" w:beforeAutospacing="0" w:after="0" w:afterAutospacing="0"/>
        <w:ind w:firstLine="709"/>
        <w:jc w:val="both"/>
        <w:rPr>
          <w:rFonts w:ascii="Arial" w:hAnsi="Arial" w:cs="Arial"/>
        </w:rPr>
      </w:pPr>
    </w:p>
    <w:p w:rsidR="00720F4D" w:rsidRPr="0079516E" w:rsidRDefault="00720F4D" w:rsidP="00720F4D">
      <w:pPr>
        <w:pStyle w:val="NormalWeb"/>
        <w:shd w:val="clear" w:color="auto" w:fill="FFFFFF"/>
        <w:spacing w:before="0" w:beforeAutospacing="0" w:after="0" w:afterAutospacing="0"/>
        <w:ind w:firstLine="709"/>
        <w:jc w:val="both"/>
        <w:rPr>
          <w:rFonts w:ascii="Arial" w:hAnsi="Arial" w:cs="Arial"/>
        </w:rPr>
      </w:pPr>
      <w:r w:rsidRPr="0079516E">
        <w:rPr>
          <w:rFonts w:ascii="Arial" w:hAnsi="Arial" w:cs="Arial"/>
        </w:rPr>
        <w:t xml:space="preserve">Desde su aparición, </w:t>
      </w:r>
      <w:proofErr w:type="spellStart"/>
      <w:r w:rsidRPr="0079516E">
        <w:rPr>
          <w:rFonts w:ascii="Arial" w:hAnsi="Arial" w:cs="Arial"/>
        </w:rPr>
        <w:t>Procampo</w:t>
      </w:r>
      <w:proofErr w:type="spellEnd"/>
      <w:r w:rsidRPr="0079516E">
        <w:rPr>
          <w:rFonts w:ascii="Arial" w:hAnsi="Arial" w:cs="Arial"/>
        </w:rPr>
        <w:t xml:space="preserve"> ha sido una de las principales herramientas de política pública sectorial, debido a sus asignaciones presupuestales y, siendo el </w:t>
      </w:r>
      <w:r w:rsidRPr="0079516E">
        <w:rPr>
          <w:rStyle w:val="Textoennegrita"/>
          <w:rFonts w:ascii="Arial" w:hAnsi="Arial" w:cs="Arial"/>
          <w:b w:val="0"/>
        </w:rPr>
        <w:t>Programa Federal con mayor población rural atendida</w:t>
      </w:r>
      <w:r w:rsidRPr="0079516E">
        <w:rPr>
          <w:rFonts w:ascii="Arial" w:hAnsi="Arial" w:cs="Arial"/>
        </w:rPr>
        <w:t>.</w:t>
      </w:r>
    </w:p>
    <w:p w:rsidR="00720F4D" w:rsidRPr="0079516E" w:rsidRDefault="00720F4D" w:rsidP="00720F4D">
      <w:pPr>
        <w:pStyle w:val="NormalWeb"/>
        <w:shd w:val="clear" w:color="auto" w:fill="FFFFFF"/>
        <w:spacing w:before="0" w:beforeAutospacing="0" w:after="0" w:afterAutospacing="0"/>
        <w:jc w:val="both"/>
        <w:rPr>
          <w:rFonts w:ascii="Arial" w:hAnsi="Arial" w:cs="Arial"/>
        </w:rPr>
      </w:pPr>
    </w:p>
    <w:p w:rsidR="00720F4D" w:rsidRPr="0079516E" w:rsidRDefault="00720F4D" w:rsidP="00720F4D">
      <w:pPr>
        <w:shd w:val="clear" w:color="auto" w:fill="FFFFFF"/>
        <w:spacing w:line="240" w:lineRule="auto"/>
        <w:rPr>
          <w:rFonts w:eastAsia="Times New Roman"/>
          <w:sz w:val="24"/>
          <w:szCs w:val="24"/>
          <w:lang w:eastAsia="es-MX"/>
        </w:rPr>
      </w:pPr>
      <w:r>
        <w:rPr>
          <w:rFonts w:eastAsia="Times New Roman"/>
          <w:sz w:val="24"/>
          <w:szCs w:val="24"/>
          <w:lang w:eastAsia="es-MX"/>
        </w:rPr>
        <w:t>Según el acuerdo de los cambios en las Reglas de Operación (RO), del Diario Oficial de la Federación (DOF)</w:t>
      </w:r>
      <w:r w:rsidRPr="0079516E">
        <w:rPr>
          <w:rFonts w:eastAsia="Times New Roman"/>
          <w:sz w:val="24"/>
          <w:szCs w:val="24"/>
          <w:lang w:eastAsia="es-MX"/>
        </w:rPr>
        <w:t xml:space="preserve"> 2011, con la nueva estructura programática de la Secretaría cambió su categoría programática de programa presupuestario a Componente, así como su denominación para quedar como Componente PROCAMPO Para Vivir Mejor. En 2013, de acuerdo a la estructura programática cambió de denominación a Componente PROCAMPO Productivo.</w:t>
      </w:r>
    </w:p>
    <w:p w:rsidR="00720F4D" w:rsidRPr="0079516E" w:rsidRDefault="00720F4D" w:rsidP="00720F4D">
      <w:pPr>
        <w:shd w:val="clear" w:color="auto" w:fill="FFFFFF"/>
        <w:spacing w:line="240" w:lineRule="auto"/>
        <w:rPr>
          <w:rFonts w:eastAsia="Times New Roman"/>
          <w:sz w:val="24"/>
          <w:szCs w:val="24"/>
          <w:lang w:eastAsia="es-MX"/>
        </w:rPr>
      </w:pPr>
    </w:p>
    <w:p w:rsidR="00720F4D" w:rsidRPr="0079516E" w:rsidRDefault="00720F4D" w:rsidP="00720F4D">
      <w:pPr>
        <w:shd w:val="clear" w:color="auto" w:fill="FFFFFF"/>
        <w:spacing w:line="240" w:lineRule="auto"/>
        <w:rPr>
          <w:rFonts w:eastAsia="Times New Roman"/>
          <w:sz w:val="24"/>
          <w:szCs w:val="24"/>
          <w:lang w:eastAsia="es-MX"/>
        </w:rPr>
      </w:pPr>
      <w:r w:rsidRPr="0079516E">
        <w:rPr>
          <w:rFonts w:eastAsia="Times New Roman"/>
          <w:sz w:val="24"/>
          <w:szCs w:val="24"/>
          <w:lang w:eastAsia="es-MX"/>
        </w:rPr>
        <w:t>El 12 de febrero de 2013 se publicó en el</w:t>
      </w:r>
      <w:r>
        <w:rPr>
          <w:rFonts w:eastAsia="Times New Roman"/>
          <w:sz w:val="24"/>
          <w:szCs w:val="24"/>
          <w:lang w:eastAsia="es-MX"/>
        </w:rPr>
        <w:t xml:space="preserve"> DOF</w:t>
      </w:r>
      <w:r w:rsidRPr="0079516E">
        <w:rPr>
          <w:rFonts w:eastAsia="Times New Roman"/>
          <w:sz w:val="24"/>
          <w:szCs w:val="24"/>
          <w:lang w:eastAsia="es-MX"/>
        </w:rPr>
        <w:t xml:space="preserve"> el “ACUERDO por el que se modifican, adicionan y derogan diversas disposiciones de las Reglas de Operación del Programa de Apoyos Directos al Campo, denominado </w:t>
      </w:r>
      <w:proofErr w:type="spellStart"/>
      <w:r w:rsidRPr="0079516E">
        <w:rPr>
          <w:rFonts w:eastAsia="Times New Roman"/>
          <w:sz w:val="24"/>
          <w:szCs w:val="24"/>
          <w:lang w:eastAsia="es-MX"/>
        </w:rPr>
        <w:t>Procampo</w:t>
      </w:r>
      <w:proofErr w:type="spellEnd"/>
      <w:r w:rsidRPr="0079516E">
        <w:rPr>
          <w:rFonts w:eastAsia="Times New Roman"/>
          <w:sz w:val="24"/>
          <w:szCs w:val="24"/>
          <w:lang w:eastAsia="es-MX"/>
        </w:rPr>
        <w:t xml:space="preserve"> Productivo para el año fiscal 2013”. En ese año, el </w:t>
      </w:r>
      <w:proofErr w:type="spellStart"/>
      <w:r w:rsidRPr="0079516E">
        <w:rPr>
          <w:rFonts w:eastAsia="Times New Roman"/>
          <w:sz w:val="24"/>
          <w:szCs w:val="24"/>
          <w:lang w:eastAsia="es-MX"/>
        </w:rPr>
        <w:t>Procampo</w:t>
      </w:r>
      <w:proofErr w:type="spellEnd"/>
      <w:r w:rsidRPr="0079516E">
        <w:rPr>
          <w:rFonts w:eastAsia="Times New Roman"/>
          <w:sz w:val="24"/>
          <w:szCs w:val="24"/>
          <w:lang w:eastAsia="es-MX"/>
        </w:rPr>
        <w:t xml:space="preserve"> cambia su nombre a Programa de Apoyo Agrícola (</w:t>
      </w:r>
      <w:proofErr w:type="spellStart"/>
      <w:r w:rsidRPr="0079516E">
        <w:rPr>
          <w:rFonts w:eastAsia="Times New Roman"/>
          <w:sz w:val="24"/>
          <w:szCs w:val="24"/>
          <w:lang w:eastAsia="es-MX"/>
        </w:rPr>
        <w:t>Proagro</w:t>
      </w:r>
      <w:proofErr w:type="spellEnd"/>
      <w:r w:rsidRPr="0079516E">
        <w:rPr>
          <w:rFonts w:eastAsia="Times New Roman"/>
          <w:sz w:val="24"/>
          <w:szCs w:val="24"/>
          <w:lang w:eastAsia="es-MX"/>
        </w:rPr>
        <w:t xml:space="preserve"> productivo).</w:t>
      </w:r>
    </w:p>
    <w:p w:rsidR="00720F4D" w:rsidRPr="0079516E" w:rsidRDefault="00720F4D" w:rsidP="00720F4D">
      <w:pPr>
        <w:shd w:val="clear" w:color="auto" w:fill="FFFFFF"/>
        <w:spacing w:line="240" w:lineRule="auto"/>
        <w:rPr>
          <w:rFonts w:eastAsia="Times New Roman"/>
          <w:sz w:val="24"/>
          <w:szCs w:val="24"/>
          <w:lang w:eastAsia="es-MX"/>
        </w:rPr>
      </w:pPr>
    </w:p>
    <w:p w:rsidR="00720F4D" w:rsidRDefault="00720F4D" w:rsidP="00720F4D">
      <w:pPr>
        <w:pStyle w:val="NormalWeb"/>
        <w:shd w:val="clear" w:color="auto" w:fill="FFFFFF"/>
        <w:spacing w:before="0" w:beforeAutospacing="0" w:after="0" w:afterAutospacing="0"/>
        <w:ind w:firstLine="709"/>
        <w:jc w:val="both"/>
        <w:rPr>
          <w:rFonts w:ascii="Arial" w:hAnsi="Arial" w:cs="Arial"/>
          <w:shd w:val="clear" w:color="auto" w:fill="FFFFFF"/>
        </w:rPr>
      </w:pPr>
      <w:r w:rsidRPr="0079516E">
        <w:rPr>
          <w:rFonts w:ascii="Arial" w:hAnsi="Arial" w:cs="Arial"/>
          <w:shd w:val="clear" w:color="auto" w:fill="FFFFFF"/>
        </w:rPr>
        <w:t xml:space="preserve">​La diferencia esencial entre ambos componentes, es que los incentivos del </w:t>
      </w:r>
      <w:proofErr w:type="spellStart"/>
      <w:r w:rsidRPr="0079516E">
        <w:rPr>
          <w:rFonts w:ascii="Arial" w:hAnsi="Arial" w:cs="Arial"/>
          <w:shd w:val="clear" w:color="auto" w:fill="FFFFFF"/>
        </w:rPr>
        <w:t>Proagro</w:t>
      </w:r>
      <w:proofErr w:type="spellEnd"/>
      <w:r w:rsidRPr="0079516E">
        <w:rPr>
          <w:rFonts w:ascii="Arial" w:hAnsi="Arial" w:cs="Arial"/>
          <w:shd w:val="clear" w:color="auto" w:fill="FFFFFF"/>
        </w:rPr>
        <w:t xml:space="preserve"> Productivo deberán ser vinculados a mejorar la productividad agrícola, y los beneficiados estarán obligados a manifestar y acreditar en los Centro de Apoyo al Desarrollo Rural (</w:t>
      </w:r>
      <w:proofErr w:type="spellStart"/>
      <w:r w:rsidRPr="0079516E">
        <w:rPr>
          <w:rFonts w:ascii="Arial" w:hAnsi="Arial" w:cs="Arial"/>
          <w:shd w:val="clear" w:color="auto" w:fill="FFFFFF"/>
        </w:rPr>
        <w:t>Cader</w:t>
      </w:r>
      <w:proofErr w:type="spellEnd"/>
      <w:r w:rsidRPr="0079516E">
        <w:rPr>
          <w:rFonts w:ascii="Arial" w:hAnsi="Arial" w:cs="Arial"/>
          <w:shd w:val="clear" w:color="auto" w:fill="FFFFFF"/>
        </w:rPr>
        <w:t>).</w:t>
      </w:r>
    </w:p>
    <w:p w:rsidR="00720F4D" w:rsidRPr="0079516E" w:rsidRDefault="00720F4D" w:rsidP="00720F4D">
      <w:pPr>
        <w:pStyle w:val="NormalWeb"/>
        <w:shd w:val="clear" w:color="auto" w:fill="FFFFFF"/>
        <w:spacing w:before="0" w:beforeAutospacing="0" w:after="0" w:afterAutospacing="0"/>
        <w:ind w:firstLine="709"/>
        <w:jc w:val="both"/>
        <w:rPr>
          <w:rFonts w:ascii="Arial" w:hAnsi="Arial" w:cs="Arial"/>
          <w:shd w:val="clear" w:color="auto" w:fill="FFFFFF"/>
        </w:rPr>
      </w:pPr>
    </w:p>
    <w:p w:rsidR="00720F4D" w:rsidRPr="0079516E" w:rsidRDefault="00720F4D" w:rsidP="00720F4D">
      <w:pPr>
        <w:spacing w:line="240" w:lineRule="auto"/>
        <w:rPr>
          <w:rFonts w:eastAsia="Times New Roman"/>
          <w:sz w:val="24"/>
          <w:szCs w:val="24"/>
          <w:lang w:eastAsia="es-MX"/>
        </w:rPr>
      </w:pPr>
      <w:r w:rsidRPr="0079516E">
        <w:rPr>
          <w:rFonts w:eastAsia="Times New Roman"/>
          <w:sz w:val="24"/>
          <w:szCs w:val="24"/>
          <w:lang w:eastAsia="es-MX"/>
        </w:rPr>
        <w:t xml:space="preserve">Sn embargo, el objetivo de este nuevo programa, era muy similar al de su antecesor el </w:t>
      </w:r>
      <w:proofErr w:type="spellStart"/>
      <w:r w:rsidRPr="0079516E">
        <w:rPr>
          <w:rFonts w:eastAsia="Times New Roman"/>
          <w:sz w:val="24"/>
          <w:szCs w:val="24"/>
          <w:lang w:eastAsia="es-MX"/>
        </w:rPr>
        <w:t>Procampo</w:t>
      </w:r>
      <w:proofErr w:type="spellEnd"/>
      <w:r w:rsidRPr="0079516E">
        <w:rPr>
          <w:rFonts w:eastAsia="Times New Roman"/>
          <w:sz w:val="24"/>
          <w:szCs w:val="24"/>
          <w:lang w:eastAsia="es-MX"/>
        </w:rPr>
        <w:t>, su objetivo general es incrementar la productividad de las Unidades Económicas Rurales Agrícolas (</w:t>
      </w:r>
      <w:proofErr w:type="spellStart"/>
      <w:r w:rsidRPr="0079516E">
        <w:rPr>
          <w:rFonts w:eastAsia="Times New Roman"/>
          <w:sz w:val="24"/>
          <w:szCs w:val="24"/>
          <w:lang w:eastAsia="es-MX"/>
        </w:rPr>
        <w:t>Uera</w:t>
      </w:r>
      <w:proofErr w:type="spellEnd"/>
      <w:r w:rsidRPr="0079516E">
        <w:rPr>
          <w:rFonts w:eastAsia="Times New Roman"/>
          <w:sz w:val="24"/>
          <w:szCs w:val="24"/>
          <w:lang w:eastAsia="es-MX"/>
        </w:rPr>
        <w:t xml:space="preserve">) mediante incentivos económicos focalizados preferentemente en zonas con potencial productivo medio y alto, en cultivos prioritarios y con potencial de mercado. En tanto que su objetivo específico, según </w:t>
      </w:r>
      <w:r>
        <w:rPr>
          <w:rFonts w:eastAsia="Times New Roman"/>
          <w:sz w:val="24"/>
          <w:szCs w:val="24"/>
          <w:lang w:eastAsia="es-MX"/>
        </w:rPr>
        <w:t>RO</w:t>
      </w:r>
      <w:r w:rsidRPr="0079516E">
        <w:rPr>
          <w:rFonts w:eastAsia="Times New Roman"/>
          <w:sz w:val="24"/>
          <w:szCs w:val="24"/>
          <w:lang w:eastAsia="es-MX"/>
        </w:rPr>
        <w:t xml:space="preserve"> 2013, es dar liquidez a las Urea para invertir en actividades productivas. ​</w:t>
      </w:r>
    </w:p>
    <w:p w:rsidR="00720F4D" w:rsidRPr="0079516E" w:rsidRDefault="00720F4D" w:rsidP="00720F4D">
      <w:pPr>
        <w:spacing w:line="240" w:lineRule="auto"/>
        <w:rPr>
          <w:rFonts w:eastAsia="Times New Roman"/>
          <w:sz w:val="24"/>
          <w:szCs w:val="24"/>
          <w:lang w:eastAsia="es-MX"/>
        </w:rPr>
      </w:pPr>
    </w:p>
    <w:p w:rsidR="00720F4D" w:rsidRPr="001E798B" w:rsidRDefault="00720F4D" w:rsidP="00720F4D">
      <w:pPr>
        <w:spacing w:after="188" w:line="240" w:lineRule="auto"/>
        <w:rPr>
          <w:sz w:val="24"/>
          <w:szCs w:val="23"/>
        </w:rPr>
      </w:pPr>
      <w:r w:rsidRPr="00DF3BBF">
        <w:rPr>
          <w:rFonts w:eastAsia="Times New Roman"/>
          <w:sz w:val="24"/>
          <w:szCs w:val="24"/>
          <w:lang w:eastAsia="es-MX"/>
        </w:rPr>
        <w:lastRenderedPageBreak/>
        <w:t xml:space="preserve">Programas, como </w:t>
      </w:r>
      <w:proofErr w:type="spellStart"/>
      <w:r w:rsidRPr="00DF3BBF">
        <w:rPr>
          <w:rFonts w:eastAsia="Times New Roman"/>
          <w:sz w:val="24"/>
          <w:szCs w:val="24"/>
          <w:lang w:eastAsia="es-MX"/>
        </w:rPr>
        <w:t>Proagro</w:t>
      </w:r>
      <w:proofErr w:type="spellEnd"/>
      <w:r w:rsidRPr="00DF3BBF">
        <w:rPr>
          <w:rFonts w:eastAsia="Times New Roman"/>
          <w:sz w:val="24"/>
          <w:szCs w:val="24"/>
          <w:lang w:eastAsia="es-MX"/>
        </w:rPr>
        <w:t xml:space="preserve">, han sido decisivos para las organizaciones agrícolas y los pobladores de las comunidades rurales, si bien, como menciona Balbuena (2017), </w:t>
      </w:r>
      <w:r w:rsidRPr="001E798B">
        <w:rPr>
          <w:sz w:val="24"/>
          <w:szCs w:val="23"/>
        </w:rPr>
        <w:t>aumentó el ingreso de los productores, este aumento no se dio en los productores de autoconsumo sino en los medianos y grandes productores. Así, lejos de coadyuvar a que mejoraran las condiciones de vida de los productores de autoconsumo, el programa generó que aumentara la brecha de desigualdad entre los productores agrícolas (p.102), no obstante, esto no implica que no haya aportado avances en el combate a la pobreza, recordando el principio de lo que en economía se conoce, como efecto multiplicador.</w:t>
      </w:r>
    </w:p>
    <w:p w:rsidR="00720F4D" w:rsidRDefault="00720F4D" w:rsidP="00720F4D">
      <w:pPr>
        <w:spacing w:after="188" w:line="240" w:lineRule="auto"/>
        <w:rPr>
          <w:rFonts w:eastAsia="NewBaskervilleStd-Roman"/>
          <w:sz w:val="24"/>
          <w:szCs w:val="20"/>
          <w:lang w:eastAsia="es-MX"/>
        </w:rPr>
      </w:pPr>
      <w:r>
        <w:rPr>
          <w:sz w:val="24"/>
          <w:szCs w:val="24"/>
        </w:rPr>
        <w:t>S</w:t>
      </w:r>
      <w:r w:rsidRPr="00DA6B37">
        <w:rPr>
          <w:sz w:val="24"/>
          <w:szCs w:val="24"/>
        </w:rPr>
        <w:t xml:space="preserve">egún </w:t>
      </w:r>
      <w:proofErr w:type="spellStart"/>
      <w:r w:rsidRPr="00DA6B37">
        <w:rPr>
          <w:sz w:val="24"/>
          <w:szCs w:val="24"/>
        </w:rPr>
        <w:t>Samuelson</w:t>
      </w:r>
      <w:proofErr w:type="spellEnd"/>
      <w:r w:rsidRPr="00DA6B37">
        <w:rPr>
          <w:sz w:val="24"/>
          <w:szCs w:val="24"/>
        </w:rPr>
        <w:t xml:space="preserve"> y </w:t>
      </w:r>
      <w:proofErr w:type="spellStart"/>
      <w:r w:rsidRPr="00DA6B37">
        <w:rPr>
          <w:sz w:val="24"/>
          <w:szCs w:val="24"/>
        </w:rPr>
        <w:t>Nordhaus</w:t>
      </w:r>
      <w:proofErr w:type="spellEnd"/>
      <w:r w:rsidRPr="00DA6B37">
        <w:rPr>
          <w:sz w:val="24"/>
          <w:szCs w:val="24"/>
        </w:rPr>
        <w:t xml:space="preserve"> (2010)</w:t>
      </w:r>
      <w:r>
        <w:rPr>
          <w:sz w:val="24"/>
          <w:szCs w:val="24"/>
        </w:rPr>
        <w:t xml:space="preserve">, este efecto proviene del hecho de que </w:t>
      </w:r>
      <w:r w:rsidRPr="00DA6B37">
        <w:rPr>
          <w:rFonts w:eastAsia="NewBaskervilleStd-Roman"/>
          <w:sz w:val="24"/>
          <w:szCs w:val="20"/>
          <w:lang w:eastAsia="es-MX"/>
        </w:rPr>
        <w:t>cada cambio de un dólar en gastos exógenos (como la inversión</w:t>
      </w:r>
      <w:r>
        <w:rPr>
          <w:rFonts w:eastAsia="NewBaskervilleStd-Roman"/>
          <w:sz w:val="24"/>
          <w:szCs w:val="20"/>
          <w:lang w:eastAsia="es-MX"/>
        </w:rPr>
        <w:t xml:space="preserve">) lleva a cambios de </w:t>
      </w:r>
      <w:r w:rsidRPr="00DA6B37">
        <w:rPr>
          <w:rFonts w:eastAsia="NewBaskervilleStd-Roman"/>
          <w:sz w:val="24"/>
          <w:szCs w:val="20"/>
          <w:lang w:eastAsia="es-MX"/>
        </w:rPr>
        <w:t xml:space="preserve">más de un dólar (o un </w:t>
      </w:r>
      <w:r>
        <w:rPr>
          <w:rFonts w:eastAsia="NewBaskervilleStd-Roman"/>
          <w:sz w:val="24"/>
          <w:szCs w:val="20"/>
          <w:lang w:eastAsia="es-MX"/>
        </w:rPr>
        <w:t xml:space="preserve">cambio multiplicado) en el PIB (p. 448), es decir, cada peso que ingresa a los productores, por concepto de </w:t>
      </w:r>
      <w:proofErr w:type="spellStart"/>
      <w:r>
        <w:rPr>
          <w:rFonts w:eastAsia="NewBaskervilleStd-Roman"/>
          <w:sz w:val="24"/>
          <w:szCs w:val="20"/>
          <w:lang w:eastAsia="es-MX"/>
        </w:rPr>
        <w:t>Proagro</w:t>
      </w:r>
      <w:proofErr w:type="spellEnd"/>
      <w:r>
        <w:rPr>
          <w:rFonts w:eastAsia="NewBaskervilleStd-Roman"/>
          <w:sz w:val="24"/>
          <w:szCs w:val="20"/>
          <w:lang w:eastAsia="es-MX"/>
        </w:rPr>
        <w:t>, genera un excedente, el cual se refleja en empleos, que, a su vez, generan nuevos ingresos, mismos que se destinan a consumo, incentivando el comercio en las zonas rurales.</w:t>
      </w:r>
    </w:p>
    <w:p w:rsidR="00720F4D" w:rsidRDefault="00720F4D" w:rsidP="00720F4D">
      <w:pPr>
        <w:spacing w:after="188" w:line="240" w:lineRule="auto"/>
        <w:rPr>
          <w:rFonts w:eastAsia="NewBaskervilleStd-Roman"/>
          <w:sz w:val="24"/>
          <w:szCs w:val="20"/>
          <w:lang w:eastAsia="es-MX"/>
        </w:rPr>
      </w:pPr>
      <w:r>
        <w:rPr>
          <w:rFonts w:eastAsia="NewBaskervilleStd-Roman"/>
          <w:sz w:val="24"/>
          <w:szCs w:val="20"/>
          <w:lang w:eastAsia="es-MX"/>
        </w:rPr>
        <w:t xml:space="preserve">Por lo tanto, si bien, la brecha entre grandes y pequeños productores, no se redujo, esto no implica que no hayan existido beneficios para los pobladores, dichos beneficios, lograron combatir la pobreza en las zonas rurales, por medio del efecto multiplicador antes mencionado. </w:t>
      </w:r>
    </w:p>
    <w:p w:rsidR="00720F4D" w:rsidRPr="00DF3BBF" w:rsidRDefault="00720F4D" w:rsidP="00720F4D">
      <w:pPr>
        <w:spacing w:after="188" w:line="240" w:lineRule="auto"/>
        <w:rPr>
          <w:sz w:val="24"/>
          <w:szCs w:val="24"/>
        </w:rPr>
      </w:pPr>
      <w:r w:rsidRPr="00F879B4">
        <w:rPr>
          <w:sz w:val="24"/>
          <w:szCs w:val="24"/>
        </w:rPr>
        <w:t>El efecto positivo</w:t>
      </w:r>
      <w:r>
        <w:rPr>
          <w:sz w:val="23"/>
          <w:szCs w:val="23"/>
        </w:rPr>
        <w:t xml:space="preserve"> </w:t>
      </w:r>
      <w:r w:rsidRPr="00DF3BBF">
        <w:rPr>
          <w:sz w:val="24"/>
          <w:szCs w:val="24"/>
        </w:rPr>
        <w:t xml:space="preserve">del </w:t>
      </w:r>
      <w:proofErr w:type="spellStart"/>
      <w:r w:rsidRPr="00DF3BBF">
        <w:rPr>
          <w:sz w:val="24"/>
          <w:szCs w:val="24"/>
        </w:rPr>
        <w:t>Proagro</w:t>
      </w:r>
      <w:proofErr w:type="spellEnd"/>
      <w:r w:rsidRPr="00DF3BBF">
        <w:rPr>
          <w:sz w:val="24"/>
          <w:szCs w:val="24"/>
        </w:rPr>
        <w:t xml:space="preserve">, como lo menciona Balbuena (2017) basado en la evaluación presentada por </w:t>
      </w:r>
      <w:proofErr w:type="spellStart"/>
      <w:r w:rsidRPr="00DF3BBF">
        <w:rPr>
          <w:sz w:val="24"/>
          <w:szCs w:val="24"/>
        </w:rPr>
        <w:t>Sagarpa</w:t>
      </w:r>
      <w:proofErr w:type="spellEnd"/>
      <w:r w:rsidRPr="00DF3BBF">
        <w:rPr>
          <w:sz w:val="24"/>
          <w:szCs w:val="24"/>
        </w:rPr>
        <w:t xml:space="preserve"> en 2011, arguye que el </w:t>
      </w:r>
      <w:proofErr w:type="spellStart"/>
      <w:r w:rsidRPr="00DF3BBF">
        <w:rPr>
          <w:sz w:val="24"/>
          <w:szCs w:val="24"/>
        </w:rPr>
        <w:t>Procampo</w:t>
      </w:r>
      <w:proofErr w:type="spellEnd"/>
      <w:r w:rsidRPr="00DF3BBF">
        <w:rPr>
          <w:sz w:val="24"/>
          <w:szCs w:val="24"/>
        </w:rPr>
        <w:t xml:space="preserve"> (hoy </w:t>
      </w:r>
      <w:proofErr w:type="spellStart"/>
      <w:r w:rsidRPr="00DF3BBF">
        <w:rPr>
          <w:sz w:val="24"/>
          <w:szCs w:val="24"/>
        </w:rPr>
        <w:t>Proagro</w:t>
      </w:r>
      <w:proofErr w:type="spellEnd"/>
      <w:r w:rsidRPr="00DF3BBF">
        <w:rPr>
          <w:sz w:val="24"/>
          <w:szCs w:val="24"/>
        </w:rPr>
        <w:t>), aunque no era uno de sus objetivos, contribuyó a combatir la pobreza, pues según sus datos el apoyo otorgado a los estratos I y II</w:t>
      </w:r>
      <w:r>
        <w:rPr>
          <w:sz w:val="24"/>
          <w:szCs w:val="24"/>
        </w:rPr>
        <w:t xml:space="preserve">, de los </w:t>
      </w:r>
      <w:proofErr w:type="spellStart"/>
      <w:r>
        <w:rPr>
          <w:sz w:val="24"/>
          <w:szCs w:val="24"/>
        </w:rPr>
        <w:t>deciles</w:t>
      </w:r>
      <w:proofErr w:type="spellEnd"/>
      <w:r>
        <w:rPr>
          <w:sz w:val="24"/>
          <w:szCs w:val="24"/>
        </w:rPr>
        <w:t xml:space="preserve"> de distribución de la riqueza,</w:t>
      </w:r>
      <w:r w:rsidRPr="00DF3BBF">
        <w:rPr>
          <w:sz w:val="24"/>
          <w:szCs w:val="24"/>
        </w:rPr>
        <w:t xml:space="preserve"> en el año 2000 aportó el 28% de los ingresos necesarios para que una persona cubriera la línea de pobreza alimentaria, el 24% para la de capacidades y el 15% para la de patrimonio; para el año 2006 los porcentajes se incrementaron a 38% sobre pobreza alimentaria, 32% sobre pobreza de capacidades y</w:t>
      </w:r>
      <w:r>
        <w:rPr>
          <w:sz w:val="23"/>
          <w:szCs w:val="23"/>
        </w:rPr>
        <w:t xml:space="preserve"> </w:t>
      </w:r>
      <w:r w:rsidRPr="00DF3BBF">
        <w:rPr>
          <w:sz w:val="24"/>
          <w:szCs w:val="24"/>
        </w:rPr>
        <w:t>21% sobre pobreza patrimonial; mientras que en el año 2008, los porcentajes disminuyeron a 29%, 25% y 16%, respectivamente (p. 102)</w:t>
      </w:r>
    </w:p>
    <w:p w:rsidR="00720F4D" w:rsidRPr="00DF3BBF" w:rsidRDefault="00720F4D" w:rsidP="00720F4D">
      <w:pPr>
        <w:spacing w:after="188" w:line="240" w:lineRule="auto"/>
        <w:rPr>
          <w:rFonts w:eastAsia="NewBaskervilleStd-Roman"/>
          <w:sz w:val="24"/>
          <w:szCs w:val="24"/>
          <w:lang w:eastAsia="es-MX"/>
        </w:rPr>
      </w:pPr>
      <w:r w:rsidRPr="00DF3BBF">
        <w:rPr>
          <w:sz w:val="24"/>
          <w:szCs w:val="24"/>
        </w:rPr>
        <w:t xml:space="preserve">Para Balbuena (2017) el simple hecho de que se les haya entregado el apoyo a los productores provocó el aumento de su ingreso más no fue un efecto de que se hayan mejorado las condiciones de producción de los agricultores. De hecho, dentro de la misma evaluación se arguye que para el 52.5% de los productores, el </w:t>
      </w:r>
      <w:proofErr w:type="spellStart"/>
      <w:r w:rsidRPr="00DF3BBF">
        <w:rPr>
          <w:sz w:val="24"/>
          <w:szCs w:val="24"/>
        </w:rPr>
        <w:t>Procampo</w:t>
      </w:r>
      <w:proofErr w:type="spellEnd"/>
      <w:r w:rsidRPr="00DF3BBF">
        <w:rPr>
          <w:sz w:val="24"/>
          <w:szCs w:val="24"/>
        </w:rPr>
        <w:t xml:space="preserve"> (hoy </w:t>
      </w:r>
      <w:proofErr w:type="spellStart"/>
      <w:r w:rsidRPr="00DF3BBF">
        <w:rPr>
          <w:sz w:val="24"/>
          <w:szCs w:val="24"/>
        </w:rPr>
        <w:t>Proagro</w:t>
      </w:r>
      <w:proofErr w:type="spellEnd"/>
      <w:r w:rsidRPr="00DF3BBF">
        <w:rPr>
          <w:sz w:val="24"/>
          <w:szCs w:val="24"/>
        </w:rPr>
        <w:t>) representó el 100% de sus ingresos agrícolas y que dicho ingreso se dedicó en más del 60% a cubrir gastos de alimentación y gastos personales (Pp. 102 y 103).</w:t>
      </w:r>
    </w:p>
    <w:p w:rsidR="00720F4D" w:rsidRDefault="00720F4D" w:rsidP="00720F4D">
      <w:pPr>
        <w:spacing w:after="188" w:line="240" w:lineRule="auto"/>
        <w:rPr>
          <w:rFonts w:eastAsia="Times New Roman"/>
          <w:sz w:val="24"/>
          <w:szCs w:val="24"/>
          <w:lang w:eastAsia="es-MX"/>
        </w:rPr>
      </w:pPr>
      <w:r w:rsidRPr="0078339E">
        <w:rPr>
          <w:rFonts w:eastAsia="Times New Roman"/>
          <w:sz w:val="24"/>
          <w:szCs w:val="24"/>
          <w:lang w:eastAsia="es-MX"/>
        </w:rPr>
        <w:t xml:space="preserve">Sin embargo, a pesar del gran apoyo, y éxito, del </w:t>
      </w:r>
      <w:proofErr w:type="spellStart"/>
      <w:r w:rsidRPr="0078339E">
        <w:rPr>
          <w:rFonts w:eastAsia="Times New Roman"/>
          <w:sz w:val="24"/>
          <w:szCs w:val="24"/>
          <w:lang w:eastAsia="es-MX"/>
        </w:rPr>
        <w:t>Proagro</w:t>
      </w:r>
      <w:proofErr w:type="spellEnd"/>
      <w:r w:rsidRPr="0078339E">
        <w:rPr>
          <w:rFonts w:eastAsia="Times New Roman"/>
          <w:sz w:val="24"/>
          <w:szCs w:val="24"/>
          <w:lang w:eastAsia="es-MX"/>
        </w:rPr>
        <w:t xml:space="preserve">, en 2016, se anuncia una serie de recortes, que llevan de los $963 de apoyo por hectárea, a la cantidad de $180, e incluso $100, generando presión en las finanzas de las organizaciones agrícolas, así como en los trabajadores del campo y las zonas rurales, este ajuste, no pudo llegar en peor momento, cuando se viven inflaciones a nivel record, y la volatilidad en los precios y el tipo de cambio, se combinan para generar una </w:t>
      </w:r>
      <w:r w:rsidRPr="0078339E">
        <w:rPr>
          <w:rFonts w:eastAsia="Times New Roman"/>
          <w:sz w:val="24"/>
          <w:szCs w:val="24"/>
          <w:lang w:eastAsia="es-MX"/>
        </w:rPr>
        <w:lastRenderedPageBreak/>
        <w:t xml:space="preserve">situación crítica, que, sin el recorte del </w:t>
      </w:r>
      <w:proofErr w:type="spellStart"/>
      <w:r w:rsidRPr="0078339E">
        <w:rPr>
          <w:rFonts w:eastAsia="Times New Roman"/>
          <w:sz w:val="24"/>
          <w:szCs w:val="24"/>
          <w:lang w:eastAsia="es-MX"/>
        </w:rPr>
        <w:t>Proagro</w:t>
      </w:r>
      <w:proofErr w:type="spellEnd"/>
      <w:r w:rsidRPr="0078339E">
        <w:rPr>
          <w:rFonts w:eastAsia="Times New Roman"/>
          <w:sz w:val="24"/>
          <w:szCs w:val="24"/>
          <w:lang w:eastAsia="es-MX"/>
        </w:rPr>
        <w:t xml:space="preserve">, sería menos complicada, tanto para las organizaciones y pobladores que subsisten de la agricultura. </w:t>
      </w:r>
    </w:p>
    <w:p w:rsidR="00720F4D" w:rsidRPr="00720F4D" w:rsidRDefault="00720F4D" w:rsidP="00720F4D">
      <w:pPr>
        <w:spacing w:line="240" w:lineRule="auto"/>
        <w:rPr>
          <w:color w:val="FF0000"/>
        </w:rPr>
      </w:pPr>
      <w:r>
        <w:rPr>
          <w:rFonts w:eastAsia="Times New Roman"/>
          <w:sz w:val="24"/>
          <w:szCs w:val="24"/>
          <w:lang w:eastAsia="es-MX"/>
        </w:rPr>
        <w:t xml:space="preserve">El </w:t>
      </w:r>
      <w:proofErr w:type="spellStart"/>
      <w:r>
        <w:rPr>
          <w:rFonts w:eastAsia="Times New Roman"/>
          <w:sz w:val="24"/>
          <w:szCs w:val="24"/>
          <w:lang w:eastAsia="es-MX"/>
        </w:rPr>
        <w:t>Proagro</w:t>
      </w:r>
      <w:proofErr w:type="spellEnd"/>
      <w:r>
        <w:rPr>
          <w:rFonts w:eastAsia="Times New Roman"/>
          <w:sz w:val="24"/>
          <w:szCs w:val="24"/>
          <w:lang w:eastAsia="es-MX"/>
        </w:rPr>
        <w:t xml:space="preserve">, no solo ha generado beneficio para las organizaciones agrícolas, ayudando a mantener sus flujos de caja relativamente estable, sino que han ayudado a combatir la pobreza en la población del campo mexicano, por lo que este recorte, de nivel sin precedentes, debido a que no fue gradual, coloca tanto a organizaciones, como pobladores en serios problemas, </w:t>
      </w:r>
      <w:r w:rsidRPr="00720F4D">
        <w:rPr>
          <w:rFonts w:eastAsia="Times New Roman"/>
          <w:color w:val="FF0000"/>
          <w:sz w:val="24"/>
          <w:szCs w:val="24"/>
          <w:lang w:eastAsia="es-MX"/>
        </w:rPr>
        <w:t>la presión en las finanzas de las empresas agrícolas, así como la reducción que tendrán los ingresos de las personas en las zonas rurales, se vuelve un verdadero problema, que de no solucionarse, puede llevar al incremento de las importaciones agrícolas, y aun éxodo de personas del campo a los centros urbanos</w:t>
      </w:r>
    </w:p>
    <w:sectPr w:rsidR="00720F4D" w:rsidRPr="00720F4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Bold">
    <w:panose1 w:val="00000000000000000000"/>
    <w:charset w:val="00"/>
    <w:family w:val="auto"/>
    <w:notTrueType/>
    <w:pitch w:val="default"/>
    <w:sig w:usb0="00000003" w:usb1="00000000" w:usb2="00000000" w:usb3="00000000" w:csb0="00000001" w:csb1="00000000"/>
  </w:font>
  <w:font w:name="NewBaskervilleStd-Roman">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0F4D"/>
    <w:rsid w:val="00047D51"/>
    <w:rsid w:val="00702943"/>
    <w:rsid w:val="00720F4D"/>
    <w:rsid w:val="00BE06B8"/>
    <w:rsid w:val="00EE3C1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chartTrackingRefBased/>
  <w15:docId w15:val="{698D9D53-F263-40FA-A138-87756FFA9E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0F4D"/>
    <w:pPr>
      <w:spacing w:after="0" w:line="360" w:lineRule="auto"/>
      <w:ind w:firstLine="567"/>
      <w:jc w:val="both"/>
    </w:pPr>
    <w:rPr>
      <w:rFonts w:ascii="Arial" w:eastAsia="Calibri" w:hAnsi="Arial" w:cs="Ari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720F4D"/>
    <w:pPr>
      <w:spacing w:before="100" w:beforeAutospacing="1" w:after="100" w:afterAutospacing="1" w:line="240" w:lineRule="auto"/>
      <w:ind w:firstLine="0"/>
      <w:jc w:val="left"/>
    </w:pPr>
    <w:rPr>
      <w:rFonts w:ascii="Times New Roman" w:eastAsia="Times New Roman" w:hAnsi="Times New Roman" w:cs="Times New Roman"/>
      <w:sz w:val="24"/>
      <w:szCs w:val="24"/>
      <w:lang w:eastAsia="es-MX"/>
    </w:rPr>
  </w:style>
  <w:style w:type="character" w:styleId="Textoennegrita">
    <w:name w:val="Strong"/>
    <w:uiPriority w:val="22"/>
    <w:qFormat/>
    <w:rsid w:val="00720F4D"/>
    <w:rPr>
      <w:b/>
      <w:bCs/>
    </w:rPr>
  </w:style>
  <w:style w:type="paragraph" w:customStyle="1" w:styleId="Default">
    <w:name w:val="Default"/>
    <w:rsid w:val="00720F4D"/>
    <w:pPr>
      <w:autoSpaceDE w:val="0"/>
      <w:autoSpaceDN w:val="0"/>
      <w:adjustRightInd w:val="0"/>
      <w:spacing w:after="0" w:line="240" w:lineRule="auto"/>
    </w:pPr>
    <w:rPr>
      <w:rFonts w:ascii="Arial" w:eastAsia="Calibri" w:hAnsi="Arial" w:cs="Arial"/>
      <w:color w:val="000000"/>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2396</Words>
  <Characters>13178</Characters>
  <Application>Microsoft Office Word</Application>
  <DocSecurity>0</DocSecurity>
  <Lines>109</Lines>
  <Paragraphs>31</Paragraphs>
  <ScaleCrop>false</ScaleCrop>
  <Company/>
  <LinksUpToDate>false</LinksUpToDate>
  <CharactersWithSpaces>15543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Adan Flores</dc:creator>
  <cp:keywords/>
  <dc:description/>
  <cp:lastModifiedBy>Adan Flores</cp:lastModifiedBy>
  <cp:revision>2</cp:revision>
  <dcterms:created xsi:type="dcterms:W3CDTF">2020-03-19T22:18:00Z</dcterms:created>
  <dcterms:modified xsi:type="dcterms:W3CDTF">2020-03-19T22:31:00Z</dcterms:modified>
</cp:coreProperties>
</file>