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2943" w:rsidRPr="006A75BA" w:rsidRDefault="006A75BA" w:rsidP="006A75BA">
      <w:pPr>
        <w:jc w:val="center"/>
        <w:rPr>
          <w:rFonts w:ascii="Arial" w:hAnsi="Arial" w:cs="Arial"/>
          <w:b/>
          <w:sz w:val="24"/>
        </w:rPr>
      </w:pPr>
      <w:r w:rsidRPr="006A75BA">
        <w:rPr>
          <w:rFonts w:ascii="Arial" w:hAnsi="Arial" w:cs="Arial"/>
          <w:b/>
          <w:sz w:val="24"/>
        </w:rPr>
        <w:t>Ejemplo de introducción de un artículo de investigación</w:t>
      </w:r>
    </w:p>
    <w:p w:rsidR="006A75BA" w:rsidRPr="006A75BA" w:rsidRDefault="006A75BA" w:rsidP="006A75BA">
      <w:pPr>
        <w:jc w:val="both"/>
        <w:rPr>
          <w:rFonts w:ascii="Arial" w:hAnsi="Arial" w:cs="Arial"/>
          <w:i/>
          <w:sz w:val="20"/>
        </w:rPr>
      </w:pPr>
      <w:r w:rsidRPr="006A75BA">
        <w:rPr>
          <w:rFonts w:ascii="Arial" w:hAnsi="Arial" w:cs="Arial"/>
          <w:i/>
          <w:sz w:val="20"/>
        </w:rPr>
        <w:t>El siguiente ejemplo de introducción, es una investigación relacionada a una empresa agrícola, como podrás observar, el autor empieza hablando de la importancia de las pequeñas y medianas empresas en la economía, para después mencionar la relevancia de la agricultura.</w:t>
      </w:r>
    </w:p>
    <w:p w:rsidR="006A75BA" w:rsidRPr="006A75BA" w:rsidRDefault="006A75BA" w:rsidP="006A75BA">
      <w:pPr>
        <w:jc w:val="both"/>
        <w:rPr>
          <w:rFonts w:ascii="Arial" w:hAnsi="Arial" w:cs="Arial"/>
          <w:i/>
          <w:sz w:val="20"/>
        </w:rPr>
      </w:pPr>
      <w:r w:rsidRPr="006A75BA">
        <w:rPr>
          <w:rFonts w:ascii="Arial" w:hAnsi="Arial" w:cs="Arial"/>
          <w:i/>
          <w:sz w:val="20"/>
        </w:rPr>
        <w:t xml:space="preserve">Dentro de esta dinámica, te puedes apoyar en datos, tablas, figuras e imágenes relacionadas a tu tema de investigación, busca fuentes confiables, como son INEGI, CONAPO, CONEVAL, Banco Mundial, CEPAL, OCDE, entre otras. </w:t>
      </w:r>
    </w:p>
    <w:p w:rsidR="006A75BA" w:rsidRDefault="006A75BA" w:rsidP="006A75BA">
      <w:pPr>
        <w:shd w:val="clear" w:color="auto" w:fill="FFFFFF"/>
        <w:spacing w:after="0"/>
        <w:ind w:firstLine="709"/>
        <w:jc w:val="both"/>
        <w:rPr>
          <w:rFonts w:ascii="Arial" w:eastAsia="Times New Roman" w:hAnsi="Arial" w:cs="Arial"/>
          <w:sz w:val="24"/>
          <w:szCs w:val="21"/>
          <w:lang w:eastAsia="es-MX"/>
        </w:rPr>
      </w:pPr>
    </w:p>
    <w:p w:rsidR="006A75BA" w:rsidRDefault="006A75BA" w:rsidP="006A75BA">
      <w:pPr>
        <w:shd w:val="clear" w:color="auto" w:fill="FFFFFF"/>
        <w:spacing w:after="0"/>
        <w:ind w:firstLine="709"/>
        <w:jc w:val="both"/>
        <w:rPr>
          <w:rFonts w:ascii="Arial" w:hAnsi="Arial" w:cs="Arial"/>
          <w:sz w:val="24"/>
          <w:szCs w:val="29"/>
        </w:rPr>
      </w:pPr>
      <w:bookmarkStart w:id="0" w:name="_GoBack"/>
      <w:bookmarkEnd w:id="0"/>
      <w:r>
        <w:rPr>
          <w:rFonts w:ascii="Arial" w:eastAsia="Times New Roman" w:hAnsi="Arial" w:cs="Arial"/>
          <w:sz w:val="24"/>
          <w:szCs w:val="21"/>
          <w:lang w:eastAsia="es-MX"/>
        </w:rPr>
        <w:t xml:space="preserve">La participación de las Pequeñas y medianas empresas (PYMES), es de suma importancia para la economía nacional, su aportación a las variables macroeconómicas es indudable, </w:t>
      </w:r>
      <w:r w:rsidRPr="00801567">
        <w:rPr>
          <w:rFonts w:ascii="Arial" w:hAnsi="Arial" w:cs="Arial"/>
          <w:sz w:val="24"/>
        </w:rPr>
        <w:t xml:space="preserve">según la revista Forbes </w:t>
      </w:r>
      <w:r w:rsidRPr="00801567">
        <w:rPr>
          <w:rFonts w:ascii="Arial" w:hAnsi="Arial" w:cs="Arial"/>
          <w:sz w:val="24"/>
          <w:szCs w:val="29"/>
        </w:rPr>
        <w:t>tan sólo en México son más de cuatro millones</w:t>
      </w:r>
      <w:r>
        <w:rPr>
          <w:rFonts w:ascii="Arial" w:hAnsi="Arial" w:cs="Arial"/>
          <w:sz w:val="24"/>
          <w:szCs w:val="29"/>
        </w:rPr>
        <w:t xml:space="preserve"> de PYMES</w:t>
      </w:r>
      <w:r w:rsidRPr="00801567">
        <w:rPr>
          <w:rFonts w:ascii="Arial" w:hAnsi="Arial" w:cs="Arial"/>
          <w:sz w:val="24"/>
          <w:szCs w:val="29"/>
        </w:rPr>
        <w:t>,</w:t>
      </w:r>
      <w:r>
        <w:rPr>
          <w:rFonts w:ascii="Arial" w:hAnsi="Arial" w:cs="Arial"/>
          <w:sz w:val="24"/>
          <w:szCs w:val="29"/>
        </w:rPr>
        <w:t xml:space="preserve"> las cuales</w:t>
      </w:r>
      <w:r w:rsidRPr="00801567">
        <w:rPr>
          <w:rFonts w:ascii="Arial" w:hAnsi="Arial" w:cs="Arial"/>
          <w:sz w:val="24"/>
          <w:szCs w:val="29"/>
        </w:rPr>
        <w:t xml:space="preserve"> generan 72% del empleo y aportan 52% del Producto Interno Bruto (PIB). Estos negocios son los que hacen competitivo a un país, los que atraen inversiones y fortalecen las industrias</w:t>
      </w:r>
      <w:r>
        <w:rPr>
          <w:rFonts w:ascii="Arial" w:hAnsi="Arial" w:cs="Arial"/>
          <w:sz w:val="24"/>
          <w:szCs w:val="29"/>
        </w:rPr>
        <w:t>.</w:t>
      </w:r>
    </w:p>
    <w:p w:rsidR="006A75BA" w:rsidRDefault="006A75BA" w:rsidP="006A75BA">
      <w:pPr>
        <w:shd w:val="clear" w:color="auto" w:fill="FFFFFF"/>
        <w:spacing w:after="0"/>
        <w:ind w:firstLine="709"/>
        <w:jc w:val="both"/>
        <w:rPr>
          <w:rFonts w:ascii="Arial" w:hAnsi="Arial" w:cs="Arial"/>
          <w:sz w:val="24"/>
          <w:szCs w:val="29"/>
        </w:rPr>
      </w:pPr>
    </w:p>
    <w:p w:rsidR="006A75BA" w:rsidRDefault="006A75BA" w:rsidP="006A75BA">
      <w:pPr>
        <w:shd w:val="clear" w:color="auto" w:fill="FFFFFF"/>
        <w:spacing w:after="0"/>
        <w:ind w:firstLine="709"/>
        <w:jc w:val="both"/>
        <w:rPr>
          <w:rFonts w:ascii="Arial" w:hAnsi="Arial" w:cs="Arial"/>
          <w:sz w:val="24"/>
          <w:szCs w:val="29"/>
        </w:rPr>
      </w:pPr>
      <w:r>
        <w:rPr>
          <w:rFonts w:ascii="Arial" w:hAnsi="Arial" w:cs="Arial"/>
          <w:sz w:val="24"/>
          <w:szCs w:val="29"/>
        </w:rPr>
        <w:t xml:space="preserve">En este sentido la dinámica de las PYMES fortalece la competitividad de una economía, más aun cuando están ligadas a sectores estratégicos, como la agricultura, punto clave en la economía de cualquier país, pues citando al político argentino Eduardo Duhalde, “te puedes acostumbrar a todo, menos al hambre” </w:t>
      </w:r>
    </w:p>
    <w:p w:rsidR="006A75BA" w:rsidRDefault="006A75BA" w:rsidP="006A75BA">
      <w:pPr>
        <w:shd w:val="clear" w:color="auto" w:fill="FFFFFF"/>
        <w:spacing w:after="0"/>
        <w:ind w:firstLine="709"/>
        <w:jc w:val="both"/>
        <w:rPr>
          <w:rFonts w:ascii="Arial" w:hAnsi="Arial" w:cs="Arial"/>
          <w:sz w:val="24"/>
          <w:szCs w:val="29"/>
        </w:rPr>
      </w:pPr>
    </w:p>
    <w:p w:rsidR="006A75BA" w:rsidRDefault="006A75BA" w:rsidP="006A75BA">
      <w:pPr>
        <w:shd w:val="clear" w:color="auto" w:fill="FFFFFF"/>
        <w:spacing w:before="72" w:after="0"/>
        <w:ind w:right="6" w:firstLine="709"/>
        <w:jc w:val="both"/>
        <w:rPr>
          <w:rFonts w:ascii="Arial" w:eastAsia="Times New Roman" w:hAnsi="Arial" w:cs="Arial"/>
          <w:sz w:val="24"/>
          <w:szCs w:val="24"/>
          <w:lang w:eastAsia="es-MX"/>
        </w:rPr>
      </w:pPr>
      <w:r>
        <w:rPr>
          <w:rFonts w:ascii="Arial" w:eastAsia="Times New Roman" w:hAnsi="Arial" w:cs="Arial"/>
          <w:sz w:val="24"/>
          <w:szCs w:val="24"/>
          <w:lang w:eastAsia="es-MX"/>
        </w:rPr>
        <w:t>La agricultura es sin duda un factor económico importante para la población del sur de Sonora</w:t>
      </w:r>
      <w:r w:rsidRPr="00D74B65">
        <w:rPr>
          <w:rFonts w:ascii="Arial" w:eastAsia="Times New Roman" w:hAnsi="Arial" w:cs="Arial"/>
          <w:sz w:val="24"/>
          <w:szCs w:val="24"/>
          <w:lang w:eastAsia="es-MX"/>
        </w:rPr>
        <w:t>, dicha actividad según el Anuario Estadístico de Sonora 2017 (AES 2017), en su apartado 11, información económica agregada, declara que  la agricultura representa un ingreso de 27, 451 Millones de Pesos, es decir 6.82% del PIB total de Sonora, sin mencionar que una caída en la producción ag</w:t>
      </w:r>
      <w:r>
        <w:rPr>
          <w:rFonts w:ascii="Arial" w:eastAsia="Times New Roman" w:hAnsi="Arial" w:cs="Arial"/>
          <w:sz w:val="24"/>
          <w:szCs w:val="24"/>
          <w:lang w:eastAsia="es-MX"/>
        </w:rPr>
        <w:t xml:space="preserve">rícola puede generar escases de alimentos </w:t>
      </w:r>
      <w:r w:rsidRPr="00D74B65">
        <w:rPr>
          <w:rFonts w:ascii="Arial" w:eastAsia="Times New Roman" w:hAnsi="Arial" w:cs="Arial"/>
          <w:sz w:val="24"/>
          <w:szCs w:val="24"/>
          <w:lang w:eastAsia="es-MX"/>
        </w:rPr>
        <w:t>sebera en el país</w:t>
      </w:r>
      <w:r>
        <w:rPr>
          <w:rFonts w:ascii="Arial" w:eastAsia="Times New Roman" w:hAnsi="Arial" w:cs="Arial"/>
          <w:sz w:val="24"/>
          <w:szCs w:val="24"/>
          <w:lang w:eastAsia="es-MX"/>
        </w:rPr>
        <w:t xml:space="preserve">. </w:t>
      </w:r>
    </w:p>
    <w:p w:rsidR="006A75BA" w:rsidRDefault="006A75BA" w:rsidP="006A75BA">
      <w:pPr>
        <w:shd w:val="clear" w:color="auto" w:fill="FFFFFF"/>
        <w:spacing w:before="72" w:after="0"/>
        <w:ind w:right="6" w:firstLine="709"/>
        <w:jc w:val="both"/>
        <w:rPr>
          <w:rFonts w:ascii="Arial" w:eastAsia="Times New Roman" w:hAnsi="Arial" w:cs="Arial"/>
          <w:sz w:val="24"/>
          <w:szCs w:val="24"/>
          <w:lang w:eastAsia="es-MX"/>
        </w:rPr>
      </w:pPr>
    </w:p>
    <w:p w:rsidR="006A75BA" w:rsidRDefault="006A75BA" w:rsidP="006A75BA">
      <w:pPr>
        <w:shd w:val="clear" w:color="auto" w:fill="FFFFFF"/>
        <w:spacing w:before="72" w:after="0"/>
        <w:ind w:right="6" w:firstLine="709"/>
        <w:jc w:val="both"/>
        <w:rPr>
          <w:rFonts w:ascii="Arial" w:hAnsi="Arial" w:cs="Arial"/>
          <w:sz w:val="24"/>
        </w:rPr>
      </w:pPr>
      <w:r>
        <w:rPr>
          <w:rFonts w:ascii="Arial" w:eastAsia="Times New Roman" w:hAnsi="Arial" w:cs="Arial"/>
          <w:sz w:val="24"/>
          <w:szCs w:val="24"/>
          <w:lang w:eastAsia="es-MX"/>
        </w:rPr>
        <w:t>Por lo tanto las PYMES, como “El Tío del Gallo SPR de RL”, juegan un papel trascendental en la estabilidad económica y en la transformación social, sin embargo las PYMES sufren una demoledora de realidad</w:t>
      </w:r>
      <w:r w:rsidRPr="00787403">
        <w:rPr>
          <w:rFonts w:ascii="Arial" w:hAnsi="Arial" w:cs="Arial"/>
          <w:sz w:val="24"/>
          <w:szCs w:val="29"/>
        </w:rPr>
        <w:t>,</w:t>
      </w:r>
      <w:r>
        <w:rPr>
          <w:rFonts w:ascii="Arial" w:hAnsi="Arial" w:cs="Arial"/>
          <w:sz w:val="24"/>
          <w:szCs w:val="29"/>
        </w:rPr>
        <w:t xml:space="preserve"> aunque son de suma importancia, el</w:t>
      </w:r>
      <w:r w:rsidRPr="00787403">
        <w:rPr>
          <w:rFonts w:ascii="Arial" w:hAnsi="Arial" w:cs="Arial"/>
          <w:sz w:val="24"/>
          <w:szCs w:val="29"/>
        </w:rPr>
        <w:t xml:space="preserve"> entorno de las </w:t>
      </w:r>
      <w:r>
        <w:rPr>
          <w:rFonts w:ascii="Arial" w:eastAsia="Times New Roman" w:hAnsi="Arial" w:cs="Arial"/>
          <w:sz w:val="24"/>
          <w:szCs w:val="24"/>
          <w:lang w:eastAsia="es-MX"/>
        </w:rPr>
        <w:t xml:space="preserve">PYMES </w:t>
      </w:r>
      <w:r w:rsidRPr="00787403">
        <w:rPr>
          <w:rFonts w:ascii="Arial" w:hAnsi="Arial" w:cs="Arial"/>
          <w:sz w:val="24"/>
          <w:szCs w:val="29"/>
        </w:rPr>
        <w:t>es muy complicad</w:t>
      </w:r>
      <w:r>
        <w:rPr>
          <w:rFonts w:ascii="Arial" w:hAnsi="Arial" w:cs="Arial"/>
          <w:sz w:val="24"/>
          <w:szCs w:val="29"/>
        </w:rPr>
        <w:t>o</w:t>
      </w:r>
      <w:r w:rsidRPr="00787403">
        <w:rPr>
          <w:rFonts w:ascii="Arial" w:hAnsi="Arial" w:cs="Arial"/>
          <w:sz w:val="24"/>
          <w:szCs w:val="29"/>
        </w:rPr>
        <w:t xml:space="preserve">, según el periódico el financiero, el 75% de la </w:t>
      </w:r>
      <w:r>
        <w:rPr>
          <w:rFonts w:ascii="Arial" w:eastAsia="Times New Roman" w:hAnsi="Arial" w:cs="Arial"/>
          <w:sz w:val="24"/>
          <w:szCs w:val="24"/>
          <w:lang w:eastAsia="es-MX"/>
        </w:rPr>
        <w:t xml:space="preserve">PYMES </w:t>
      </w:r>
      <w:r w:rsidRPr="00787403">
        <w:rPr>
          <w:rFonts w:ascii="Arial" w:hAnsi="Arial" w:cs="Arial"/>
          <w:sz w:val="24"/>
          <w:szCs w:val="29"/>
        </w:rPr>
        <w:t xml:space="preserve">cierran en su segundo año de operaciones, los motivos son finanzas débiles y carencia de objetivos, así como ausencia de planeación. </w:t>
      </w:r>
      <w:r w:rsidRPr="00787403">
        <w:rPr>
          <w:rFonts w:ascii="Arial" w:hAnsi="Arial" w:cs="Arial"/>
          <w:sz w:val="24"/>
        </w:rPr>
        <w:t>Este fenómeno alcanza a las PYMES del sector rural</w:t>
      </w:r>
      <w:r>
        <w:rPr>
          <w:rFonts w:ascii="Arial" w:hAnsi="Arial" w:cs="Arial"/>
          <w:sz w:val="24"/>
        </w:rPr>
        <w:t>, en mayor proporción que a las PYMES de zonas urbanas.</w:t>
      </w:r>
    </w:p>
    <w:p w:rsidR="006A75BA" w:rsidRDefault="006A75BA" w:rsidP="006A75BA">
      <w:pPr>
        <w:shd w:val="clear" w:color="auto" w:fill="FFFFFF"/>
        <w:spacing w:before="72" w:after="0"/>
        <w:ind w:right="6" w:firstLine="709"/>
        <w:jc w:val="both"/>
        <w:rPr>
          <w:rFonts w:ascii="Arial" w:eastAsia="Times New Roman" w:hAnsi="Arial" w:cs="Arial"/>
          <w:sz w:val="24"/>
          <w:szCs w:val="24"/>
          <w:lang w:eastAsia="es-MX"/>
        </w:rPr>
      </w:pPr>
    </w:p>
    <w:p w:rsidR="006A75BA" w:rsidRDefault="006A75BA" w:rsidP="006A75BA">
      <w:pPr>
        <w:shd w:val="clear" w:color="auto" w:fill="FFFFFF"/>
        <w:spacing w:after="0"/>
        <w:ind w:firstLine="709"/>
        <w:jc w:val="both"/>
        <w:rPr>
          <w:rFonts w:ascii="Arial" w:eastAsia="Times New Roman" w:hAnsi="Arial" w:cs="Arial"/>
          <w:sz w:val="24"/>
          <w:szCs w:val="24"/>
          <w:lang w:eastAsia="es-MX"/>
        </w:rPr>
      </w:pPr>
      <w:r>
        <w:rPr>
          <w:rFonts w:ascii="Arial" w:eastAsia="Times New Roman" w:hAnsi="Arial" w:cs="Arial"/>
          <w:sz w:val="24"/>
          <w:szCs w:val="21"/>
          <w:lang w:eastAsia="es-MX"/>
        </w:rPr>
        <w:t xml:space="preserve">En este contexto se desenvuelve </w:t>
      </w:r>
      <w:r>
        <w:rPr>
          <w:rFonts w:ascii="Arial" w:eastAsia="Times New Roman" w:hAnsi="Arial" w:cs="Arial"/>
          <w:sz w:val="24"/>
          <w:szCs w:val="24"/>
          <w:lang w:eastAsia="es-MX"/>
        </w:rPr>
        <w:t xml:space="preserve">“El Tío del Gallo SPR de RL”, la cual ha sufrido en carne propia el competir en escenario adverso, donde la complejidad de las variables económicas su vuelven un reto mayor, es decir, los agricultores en su mayoría consumen insumos tasados en dólares americanos (USD), donde en su época de producción, normalmente Otoño-Invierno (OI), por estacionalidad económica el USD está en sus máximos, pero cosechan en Primavera, donde el </w:t>
      </w:r>
      <w:r>
        <w:rPr>
          <w:rFonts w:ascii="Arial" w:eastAsia="Times New Roman" w:hAnsi="Arial" w:cs="Arial"/>
          <w:sz w:val="24"/>
          <w:szCs w:val="24"/>
          <w:lang w:eastAsia="es-MX"/>
        </w:rPr>
        <w:lastRenderedPageBreak/>
        <w:t>USD está en uno de sus mínimos, es decir siembran con costos altos y liquidan sus cosechas con USD bajo, además la política montería no juega a su favor, para controlar el tipo de cambio y la inflación, las tasas de interés se elevan, generando escases de financiamiento, así como una drástica reducción de los apoyos a los agricultores, por otro lado la volatilidad de los precios de los cultivos, donde se puede observar literalmente “montañas de cultivos” dejadas en los predios por no tener valor de mercado. Aunada a estas dificultades, la carencia de la planeación estratégica, condena a la mayoría de las PYMES rurales una realidad incierta, por lo que las PYMES deben adoptar estrategias.</w:t>
      </w:r>
    </w:p>
    <w:p w:rsidR="006A75BA" w:rsidRDefault="006A75BA"/>
    <w:sectPr w:rsidR="006A75B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5BA"/>
    <w:rsid w:val="006A75BA"/>
    <w:rsid w:val="00702943"/>
    <w:rsid w:val="00BE06B8"/>
    <w:rsid w:val="00EE3C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B7C88F-E34E-4AB2-87D7-0730BBCDC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535</Words>
  <Characters>2948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1</cp:revision>
  <dcterms:created xsi:type="dcterms:W3CDTF">2020-03-19T21:12:00Z</dcterms:created>
  <dcterms:modified xsi:type="dcterms:W3CDTF">2020-03-19T21:23:00Z</dcterms:modified>
</cp:coreProperties>
</file>